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5"/>
      </w:pPr>
      <w:r>
        <w:rPr>
          <w:rFonts w:hint="eastAsia"/>
        </w:rPr>
        <w:t>中大惠亚医院</w:t>
      </w:r>
      <w:bookmarkStart w:id="0" w:name="OLE_LINK1"/>
      <w:bookmarkStart w:id="1" w:name="OLE_LINK2"/>
      <w:r>
        <w:rPr>
          <w:rFonts w:hint="eastAsia"/>
        </w:rPr>
        <w:t>医院信息系统项目</w:t>
      </w:r>
      <w:bookmarkEnd w:id="0"/>
      <w:bookmarkEnd w:id="1"/>
      <w:r>
        <w:rPr>
          <w:rFonts w:hint="eastAsia"/>
        </w:rPr>
        <w:t>技术要求</w:t>
      </w:r>
    </w:p>
    <w:p>
      <w:pPr>
        <w:jc w:val="center"/>
        <w:rPr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>用户需求</w:t>
      </w:r>
    </w:p>
    <w:p>
      <w:pPr>
        <w:jc w:val="left"/>
        <w:rPr>
          <w:sz w:val="28"/>
          <w:szCs w:val="28"/>
        </w:rPr>
      </w:pPr>
      <w:r>
        <w:rPr>
          <w:rFonts w:hint="eastAsia" w:ascii="宋体" w:hAnsi="宋体" w:cs="宋体"/>
          <w:b/>
          <w:szCs w:val="21"/>
        </w:rPr>
        <w:t>一、采购内容</w:t>
      </w:r>
    </w:p>
    <w:p/>
    <w:tbl>
      <w:tblPr>
        <w:tblStyle w:val="16"/>
        <w:tblW w:w="658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6"/>
        <w:gridCol w:w="3781"/>
        <w:gridCol w:w="17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tblHeader/>
          <w:jc w:val="center"/>
        </w:trPr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3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  <w:b/>
              </w:rPr>
              <w:t>采购项目名称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  <w:b/>
              </w:rPr>
              <w:t>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066" w:type="dxa"/>
            <w:tcBorders>
              <w:left w:val="single" w:color="000000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781" w:type="dxa"/>
            <w:tcBorders>
              <w:left w:val="single" w:color="000000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lang w:eastAsia="zh-CN"/>
              </w:rPr>
              <w:t>中小学生体检管理系统租赁服务项目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1年</w:t>
            </w:r>
          </w:p>
        </w:tc>
      </w:tr>
    </w:tbl>
    <w:p>
      <w:pPr>
        <w:spacing w:line="360" w:lineRule="auto"/>
        <w:rPr>
          <w:rFonts w:ascii="宋体" w:hAnsi="宋体" w:cs="宋体"/>
          <w:b/>
        </w:rPr>
      </w:pPr>
      <w:bookmarkStart w:id="2" w:name="_Toc7515549"/>
      <w:r>
        <w:rPr>
          <w:rFonts w:hint="eastAsia" w:ascii="宋体" w:hAnsi="宋体" w:cs="宋体"/>
          <w:b/>
        </w:rPr>
        <w:t>二、项目描述</w:t>
      </w:r>
    </w:p>
    <w:p>
      <w:pPr>
        <w:spacing w:line="360" w:lineRule="auto"/>
        <w:ind w:firstLine="420" w:firstLineChars="200"/>
        <w:rPr>
          <w:rFonts w:hint="eastAsia" w:asciiTheme="minorEastAsia" w:hAnsiTheme="minorEastAsia"/>
          <w:color w:val="auto"/>
          <w:lang w:eastAsia="zh-CN"/>
        </w:rPr>
      </w:pPr>
      <w:r>
        <w:rPr>
          <w:rFonts w:hint="eastAsia" w:asciiTheme="minorEastAsia" w:hAnsiTheme="minorEastAsia"/>
          <w:color w:val="auto"/>
          <w:lang w:eastAsia="zh-CN"/>
        </w:rPr>
        <w:t>本项目为体检中心所提需求，</w:t>
      </w:r>
      <w:r>
        <w:rPr>
          <w:rFonts w:hint="eastAsia"/>
          <w:lang w:eastAsia="zh-CN"/>
        </w:rPr>
        <w:t>当前我院承接大亚湾区中小学生体检工作，为保障院外体检数据采集的准确性、时效性与可追溯性，适配国家、广东省、惠州市学生健康体检工作标准，</w:t>
      </w:r>
      <w:r>
        <w:rPr>
          <w:rFonts w:hint="eastAsia" w:asciiTheme="minorEastAsia" w:hAnsiTheme="minorEastAsia"/>
          <w:color w:val="auto"/>
          <w:lang w:eastAsia="zh-CN"/>
        </w:rPr>
        <w:t>现拟开展</w:t>
      </w:r>
      <w:r>
        <w:rPr>
          <w:rFonts w:hint="eastAsia" w:ascii="宋体" w:hAnsi="宋体" w:cs="宋体"/>
          <w:kern w:val="0"/>
          <w:lang w:eastAsia="zh-CN"/>
        </w:rPr>
        <w:t>中小学生体检管理系统租赁服务项目采购</w:t>
      </w:r>
      <w:r>
        <w:rPr>
          <w:rFonts w:hint="eastAsia" w:asciiTheme="minorEastAsia" w:hAnsiTheme="minorEastAsia"/>
          <w:color w:val="auto"/>
          <w:lang w:eastAsia="zh-CN"/>
        </w:rPr>
        <w:t>工作。</w:t>
      </w:r>
    </w:p>
    <w:p>
      <w:pPr>
        <w:spacing w:line="360" w:lineRule="auto"/>
        <w:rPr>
          <w:rFonts w:hint="eastAsia" w:ascii="宋体" w:hAnsi="宋体" w:cs="宋体" w:eastAsiaTheme="minorEastAsia"/>
          <w:b/>
          <w:lang w:eastAsia="zh-CN"/>
        </w:rPr>
      </w:pPr>
      <w:r>
        <w:rPr>
          <w:rFonts w:hint="eastAsia" w:ascii="宋体" w:hAnsi="宋体" w:cs="宋体"/>
          <w:b/>
        </w:rPr>
        <w:t>三、</w:t>
      </w:r>
      <w:r>
        <w:rPr>
          <w:rFonts w:hint="eastAsia" w:ascii="宋体" w:hAnsi="宋体" w:cs="宋体"/>
          <w:b/>
          <w:lang w:eastAsia="zh-CN"/>
        </w:rPr>
        <w:t>服务原则</w:t>
      </w:r>
    </w:p>
    <w:p>
      <w:pPr>
        <w:spacing w:line="360" w:lineRule="auto"/>
        <w:rPr>
          <w:rFonts w:hint="eastAsia" w:ascii="宋体" w:hAnsi="宋体" w:cs="宋体"/>
          <w:color w:val="auto"/>
          <w:kern w:val="0"/>
        </w:rPr>
      </w:pPr>
      <w:r>
        <w:rPr>
          <w:rFonts w:hint="eastAsia" w:ascii="宋体" w:hAnsi="宋体" w:cs="宋体"/>
          <w:color w:val="auto"/>
          <w:kern w:val="0"/>
          <w:lang w:val="en-US" w:eastAsia="zh-CN"/>
        </w:rPr>
        <w:t>1、</w:t>
      </w:r>
      <w:r>
        <w:rPr>
          <w:rFonts w:hint="eastAsia" w:ascii="宋体" w:hAnsi="宋体" w:cs="宋体"/>
          <w:color w:val="auto"/>
          <w:kern w:val="0"/>
        </w:rPr>
        <w:t>标准化原则:</w:t>
      </w:r>
      <w:r>
        <w:rPr>
          <w:rFonts w:hint="eastAsia" w:ascii="宋体" w:hAnsi="宋体" w:cs="宋体"/>
          <w:color w:val="auto"/>
          <w:kern w:val="0"/>
          <w:lang w:eastAsia="zh-CN"/>
        </w:rPr>
        <w:t>提供的系统应</w:t>
      </w:r>
      <w:r>
        <w:rPr>
          <w:rFonts w:hint="eastAsia" w:ascii="宋体" w:hAnsi="宋体" w:cs="宋体"/>
          <w:color w:val="auto"/>
          <w:kern w:val="0"/>
        </w:rPr>
        <w:t>遵循通用标准和行业规范。按照国际、国家、行业、企业相关标准，</w:t>
      </w:r>
      <w:r>
        <w:rPr>
          <w:rFonts w:hint="eastAsia" w:ascii="宋体" w:hAnsi="宋体" w:cs="宋体"/>
          <w:color w:val="auto"/>
          <w:kern w:val="0"/>
          <w:lang w:eastAsia="zh-CN"/>
        </w:rPr>
        <w:t>提供的系统</w:t>
      </w:r>
      <w:r>
        <w:rPr>
          <w:rFonts w:hint="eastAsia" w:ascii="宋体" w:hAnsi="宋体" w:cs="宋体"/>
          <w:color w:val="auto"/>
          <w:kern w:val="0"/>
        </w:rPr>
        <w:t>适合</w:t>
      </w:r>
      <w:r>
        <w:rPr>
          <w:rFonts w:hint="eastAsia" w:ascii="宋体" w:hAnsi="宋体" w:cs="宋体"/>
          <w:color w:val="auto"/>
          <w:kern w:val="0"/>
          <w:lang w:eastAsia="zh-CN"/>
        </w:rPr>
        <w:t>信息化</w:t>
      </w:r>
      <w:r>
        <w:rPr>
          <w:rFonts w:hint="eastAsia" w:ascii="宋体" w:hAnsi="宋体" w:cs="宋体"/>
          <w:color w:val="auto"/>
          <w:kern w:val="0"/>
        </w:rPr>
        <w:t>标准规范体系，</w:t>
      </w:r>
      <w:r>
        <w:rPr>
          <w:rFonts w:hint="eastAsia" w:ascii="宋体" w:hAnsi="宋体" w:cs="宋体"/>
          <w:color w:val="auto"/>
          <w:kern w:val="0"/>
          <w:lang w:eastAsia="zh-CN"/>
        </w:rPr>
        <w:t>提供</w:t>
      </w:r>
      <w:r>
        <w:rPr>
          <w:rFonts w:hint="eastAsia" w:ascii="宋体" w:hAnsi="宋体" w:cs="宋体"/>
          <w:color w:val="auto"/>
          <w:kern w:val="0"/>
        </w:rPr>
        <w:t>信息共享、系统集成环境。</w:t>
      </w:r>
    </w:p>
    <w:p>
      <w:pPr>
        <w:spacing w:line="360" w:lineRule="auto"/>
        <w:rPr>
          <w:rFonts w:hint="eastAsia" w:ascii="宋体" w:hAnsi="宋体" w:cs="宋体"/>
          <w:color w:val="auto"/>
          <w:kern w:val="0"/>
        </w:rPr>
      </w:pPr>
      <w:r>
        <w:rPr>
          <w:rFonts w:hint="eastAsia" w:ascii="宋体" w:hAnsi="宋体" w:cs="宋体"/>
          <w:color w:val="auto"/>
          <w:kern w:val="0"/>
          <w:lang w:val="en-US" w:eastAsia="zh-CN"/>
        </w:rPr>
        <w:t>2、</w:t>
      </w:r>
      <w:r>
        <w:rPr>
          <w:rFonts w:hint="eastAsia" w:ascii="宋体" w:hAnsi="宋体" w:cs="宋体"/>
          <w:color w:val="auto"/>
          <w:kern w:val="0"/>
        </w:rPr>
        <w:t>安全性原则:</w:t>
      </w:r>
      <w:r>
        <w:rPr>
          <w:rFonts w:hint="eastAsia" w:ascii="宋体" w:hAnsi="宋体" w:cs="宋体"/>
          <w:color w:val="auto"/>
          <w:kern w:val="0"/>
          <w:lang w:eastAsia="zh-CN"/>
        </w:rPr>
        <w:t>提供的系统</w:t>
      </w:r>
      <w:r>
        <w:rPr>
          <w:rFonts w:hint="eastAsia" w:ascii="宋体" w:hAnsi="宋体" w:cs="宋体"/>
          <w:color w:val="auto"/>
          <w:kern w:val="0"/>
        </w:rPr>
        <w:t>采用的软件开发技术和方法应充分考虑医院所面临的安全性要求，建立适应的安全保障机制，符合信息系统安全等级保护建设相关要求。</w:t>
      </w:r>
    </w:p>
    <w:p>
      <w:pPr>
        <w:spacing w:line="360" w:lineRule="auto"/>
        <w:rPr>
          <w:rFonts w:hint="eastAsia" w:ascii="宋体" w:hAnsi="宋体" w:cs="宋体"/>
          <w:color w:val="auto"/>
          <w:kern w:val="0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lang w:val="en-US" w:eastAsia="zh-CN"/>
        </w:rPr>
        <w:t>3、先进性与可靠性原则:提供成熟、可靠的主流技术和产品，即保证技术和产品的先进性，又充分考虑实用性和高可靠性，有良好的售后服务和承诺支持。</w:t>
      </w:r>
    </w:p>
    <w:p>
      <w:pPr>
        <w:spacing w:line="360" w:lineRule="auto"/>
        <w:rPr>
          <w:rFonts w:hint="eastAsia" w:ascii="宋体" w:hAnsi="宋体" w:cs="宋体"/>
          <w:color w:val="auto"/>
          <w:kern w:val="0"/>
        </w:rPr>
      </w:pPr>
      <w:r>
        <w:rPr>
          <w:rFonts w:hint="eastAsia" w:ascii="宋体" w:hAnsi="宋体" w:cs="宋体"/>
          <w:color w:val="auto"/>
          <w:kern w:val="0"/>
          <w:lang w:val="en-US" w:eastAsia="zh-CN"/>
        </w:rPr>
        <w:t>4、</w:t>
      </w:r>
      <w:r>
        <w:rPr>
          <w:rFonts w:hint="eastAsia" w:ascii="宋体" w:hAnsi="宋体" w:cs="宋体"/>
          <w:color w:val="auto"/>
          <w:kern w:val="0"/>
        </w:rPr>
        <w:t>兼容性与可扩展性原则:从</w:t>
      </w:r>
      <w:r>
        <w:rPr>
          <w:rFonts w:hint="eastAsia" w:ascii="宋体" w:hAnsi="宋体" w:cs="宋体"/>
          <w:color w:val="auto"/>
          <w:kern w:val="0"/>
          <w:lang w:eastAsia="zh-CN"/>
        </w:rPr>
        <w:t>医院整体信息系统对接角度</w:t>
      </w:r>
      <w:r>
        <w:rPr>
          <w:rFonts w:hint="eastAsia" w:ascii="宋体" w:hAnsi="宋体" w:cs="宋体"/>
          <w:color w:val="auto"/>
          <w:kern w:val="0"/>
        </w:rPr>
        <w:t>出发，坚持开放性原则，考虑各种软硬系统的兼容性和可扩展性。</w:t>
      </w:r>
    </w:p>
    <w:p>
      <w:pPr>
        <w:spacing w:line="360" w:lineRule="auto"/>
        <w:rPr>
          <w:rFonts w:ascii="宋体" w:hAnsi="宋体" w:cs="宋体"/>
          <w:color w:val="auto"/>
          <w:kern w:val="0"/>
        </w:rPr>
      </w:pPr>
      <w:r>
        <w:rPr>
          <w:rFonts w:hint="eastAsia" w:ascii="宋体" w:hAnsi="宋体" w:cs="宋体"/>
          <w:color w:val="auto"/>
          <w:kern w:val="0"/>
          <w:lang w:val="en-US" w:eastAsia="zh-CN"/>
        </w:rPr>
        <w:t>5、</w:t>
      </w:r>
      <w:r>
        <w:rPr>
          <w:rFonts w:hint="eastAsia" w:ascii="宋体" w:hAnsi="宋体" w:cs="宋体"/>
          <w:color w:val="auto"/>
          <w:kern w:val="0"/>
        </w:rPr>
        <w:t>易使用、易维护与可配置性原则:</w:t>
      </w:r>
      <w:r>
        <w:rPr>
          <w:rFonts w:hint="eastAsia" w:ascii="宋体" w:hAnsi="宋体" w:cs="宋体"/>
          <w:color w:val="auto"/>
          <w:kern w:val="0"/>
          <w:lang w:eastAsia="zh-CN"/>
        </w:rPr>
        <w:t>提供的</w:t>
      </w:r>
      <w:r>
        <w:rPr>
          <w:rFonts w:hint="eastAsia" w:ascii="宋体" w:hAnsi="宋体" w:cs="宋体"/>
          <w:color w:val="auto"/>
          <w:kern w:val="0"/>
        </w:rPr>
        <w:t>系统开发充分体现结构化、模块化的设计思想，采用先进的设计和开发工具，同时按照便于管理和易维护原则，对于管理和维护有专门的考虑。</w:t>
      </w:r>
    </w:p>
    <w:p>
      <w:pPr>
        <w:pStyle w:val="28"/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eastAsia" w:ascii="宋体" w:hAnsi="宋体" w:cs="宋体"/>
          <w:b/>
          <w:bCs w:val="0"/>
          <w:lang w:val="en-US" w:eastAsia="zh-CN"/>
        </w:rPr>
      </w:pPr>
      <w:r>
        <w:rPr>
          <w:rFonts w:hint="eastAsia" w:ascii="宋体" w:hAnsi="宋体" w:cs="宋体"/>
          <w:b/>
          <w:lang w:eastAsia="zh-CN"/>
        </w:rPr>
        <w:t>服务</w:t>
      </w:r>
      <w:r>
        <w:rPr>
          <w:rFonts w:hint="eastAsia" w:ascii="宋体" w:hAnsi="宋体" w:cs="宋体"/>
          <w:b/>
        </w:rPr>
        <w:t>内容</w:t>
      </w:r>
    </w:p>
    <w:p>
      <w:pPr>
        <w:pStyle w:val="28"/>
        <w:numPr>
          <w:ilvl w:val="0"/>
          <w:numId w:val="6"/>
        </w:numPr>
        <w:spacing w:line="300" w:lineRule="auto"/>
        <w:ind w:firstLineChars="0"/>
        <w:rPr>
          <w:rFonts w:hint="eastAsia" w:ascii="宋体" w:hAnsi="宋体" w:eastAsia="宋体"/>
          <w:b w:val="0"/>
          <w:bCs w:val="0"/>
          <w:sz w:val="21"/>
          <w:szCs w:val="21"/>
        </w:rPr>
      </w:pPr>
      <w:r>
        <w:rPr>
          <w:rFonts w:hint="eastAsia" w:ascii="宋体" w:hAnsi="宋体" w:eastAsia="宋体"/>
          <w:b w:val="0"/>
          <w:bCs w:val="0"/>
          <w:sz w:val="21"/>
          <w:szCs w:val="21"/>
          <w:lang w:eastAsia="zh-CN"/>
        </w:rPr>
        <w:t>提供</w:t>
      </w:r>
      <w:r>
        <w:rPr>
          <w:rFonts w:ascii="宋体" w:hAnsi="宋体" w:eastAsia="宋体"/>
          <w:b w:val="0"/>
          <w:bCs w:val="0"/>
          <w:sz w:val="21"/>
          <w:szCs w:val="21"/>
        </w:rPr>
        <w:t>学生健康体检信息管理系统</w:t>
      </w:r>
      <w:r>
        <w:rPr>
          <w:rFonts w:hint="eastAsia" w:ascii="宋体" w:hAnsi="宋体" w:eastAsia="宋体"/>
          <w:b w:val="0"/>
          <w:bCs w:val="0"/>
          <w:sz w:val="21"/>
          <w:szCs w:val="21"/>
          <w:lang w:eastAsia="zh-CN"/>
        </w:rPr>
        <w:t>供医院使用，主要功能如下：</w:t>
      </w:r>
    </w:p>
    <w:p>
      <w:pPr>
        <w:pStyle w:val="4"/>
        <w:numPr>
          <w:ilvl w:val="1"/>
          <w:numId w:val="6"/>
        </w:numPr>
        <w:tabs>
          <w:tab w:val="left" w:pos="360"/>
          <w:tab w:val="clear" w:pos="567"/>
        </w:tabs>
        <w:spacing w:line="300" w:lineRule="auto"/>
        <w:ind w:left="0" w:firstLine="0"/>
        <w:rPr>
          <w:rFonts w:hint="eastAsia"/>
          <w:b w:val="0"/>
          <w:bCs w:val="0"/>
          <w:sz w:val="21"/>
          <w:szCs w:val="21"/>
        </w:rPr>
      </w:pPr>
      <w:r>
        <w:rPr>
          <w:rFonts w:hint="eastAsia"/>
          <w:b w:val="0"/>
          <w:bCs w:val="0"/>
          <w:sz w:val="21"/>
          <w:szCs w:val="21"/>
        </w:rPr>
        <w:t>学生健康体检</w:t>
      </w:r>
    </w:p>
    <w:tbl>
      <w:tblPr>
        <w:tblStyle w:val="17"/>
        <w:tblW w:w="88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1721"/>
        <w:gridCol w:w="53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shd w:val="pct5" w:color="auto" w:fill="auto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主模块</w:t>
            </w:r>
          </w:p>
        </w:tc>
        <w:tc>
          <w:tcPr>
            <w:tcW w:w="1721" w:type="dxa"/>
            <w:shd w:val="pct5" w:color="auto" w:fill="auto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功能</w:t>
            </w:r>
          </w:p>
        </w:tc>
        <w:tc>
          <w:tcPr>
            <w:tcW w:w="5393" w:type="dxa"/>
            <w:shd w:val="pct5" w:color="auto" w:fill="auto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功能说明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vMerge w:val="restart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体检中心</w:t>
            </w:r>
          </w:p>
        </w:tc>
        <w:tc>
          <w:tcPr>
            <w:tcW w:w="1721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健康体检登记</w:t>
            </w:r>
          </w:p>
        </w:tc>
        <w:tc>
          <w:tcPr>
            <w:tcW w:w="5393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学生健康体检信息登记。支持自动调取学生基础档案，各体检类别（套餐）选择。支持个体导检码、导检单导出打印。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vMerge w:val="continue"/>
            <w:vAlign w:val="center"/>
          </w:tcPr>
          <w:p>
            <w:pPr>
              <w:spacing w:line="300" w:lineRule="auto"/>
              <w:ind w:firstLine="48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721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健康体检管理</w:t>
            </w:r>
          </w:p>
        </w:tc>
        <w:tc>
          <w:tcPr>
            <w:tcW w:w="5393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分层级分机构管理学生健康体检信息。支持个体导检码、导检单、体检报告导出与打印。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vMerge w:val="restart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检验中心</w:t>
            </w:r>
          </w:p>
        </w:tc>
        <w:tc>
          <w:tcPr>
            <w:tcW w:w="1721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PPD批量处理</w:t>
            </w:r>
          </w:p>
        </w:tc>
        <w:tc>
          <w:tcPr>
            <w:tcW w:w="5393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支持阴性/阳性结果的区分式处理。阳性结果可依据学生名单进行批量式设定。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vMerge w:val="continue"/>
            <w:vAlign w:val="center"/>
          </w:tcPr>
          <w:p>
            <w:pPr>
              <w:spacing w:line="300" w:lineRule="auto"/>
              <w:ind w:firstLine="48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721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PPD结果管理</w:t>
            </w:r>
          </w:p>
        </w:tc>
        <w:tc>
          <w:tcPr>
            <w:tcW w:w="5393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结核菌素试验结果录入与管理。具有：结果判定、硬结横径、纵径、局部可见录入。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输入硬件横纵径后自动计算平均直径。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vMerge w:val="continue"/>
            <w:vAlign w:val="center"/>
          </w:tcPr>
          <w:p>
            <w:pPr>
              <w:spacing w:line="300" w:lineRule="auto"/>
              <w:ind w:firstLine="48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721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检验结果导入</w:t>
            </w:r>
          </w:p>
        </w:tc>
        <w:tc>
          <w:tcPr>
            <w:tcW w:w="5393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支持检验结果批量导入。支持：自主定义、迈瑞、罗氏生化仪结果E</w:t>
            </w:r>
            <w:r>
              <w:rPr>
                <w:rFonts w:ascii="宋体" w:hAnsi="宋体" w:eastAsia="宋体"/>
                <w:sz w:val="21"/>
                <w:szCs w:val="21"/>
              </w:rPr>
              <w:t>xcel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检验结果的直接导入。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vMerge w:val="continue"/>
            <w:vAlign w:val="center"/>
          </w:tcPr>
          <w:p>
            <w:pPr>
              <w:spacing w:line="300" w:lineRule="auto"/>
              <w:ind w:firstLine="48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721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检验结果管理</w:t>
            </w:r>
          </w:p>
        </w:tc>
        <w:tc>
          <w:tcPr>
            <w:tcW w:w="5393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个体检验结果的录入管理。涵盖：丙氨酸氨基转移酶、胆红素、血红蛋白、红细胞、白细胞、血小板等检验结果录入。结果录入后自动依据实验室标准进行评价。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vMerge w:val="restart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主检中心</w:t>
            </w:r>
          </w:p>
        </w:tc>
        <w:tc>
          <w:tcPr>
            <w:tcW w:w="1721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主检结论处理</w:t>
            </w:r>
          </w:p>
        </w:tc>
        <w:tc>
          <w:tcPr>
            <w:tcW w:w="5393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个体主检结论处理，支持自动化生成诊断结果、健康评价、健康评分、体检结论、复查项目、健康建议。具有个体“禁用自动主检”功能，可针对特殊学生禁止使用自动智能主检功能。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vMerge w:val="continue"/>
            <w:vAlign w:val="center"/>
          </w:tcPr>
          <w:p>
            <w:pPr>
              <w:spacing w:line="300" w:lineRule="auto"/>
              <w:ind w:firstLine="48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721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自动智能主检</w:t>
            </w:r>
          </w:p>
        </w:tc>
        <w:tc>
          <w:tcPr>
            <w:tcW w:w="5393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个体智能主检的集中化批量处理。可依据学校、年级、专业、班级进行批次化自动智能主检。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vMerge w:val="restart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数据处理</w:t>
            </w:r>
          </w:p>
        </w:tc>
        <w:tc>
          <w:tcPr>
            <w:tcW w:w="1721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批量体检登记</w:t>
            </w:r>
          </w:p>
        </w:tc>
        <w:tc>
          <w:tcPr>
            <w:tcW w:w="5393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通过E</w:t>
            </w:r>
            <w:r>
              <w:rPr>
                <w:rFonts w:ascii="宋体" w:hAnsi="宋体" w:eastAsia="宋体"/>
                <w:sz w:val="21"/>
                <w:szCs w:val="21"/>
              </w:rPr>
              <w:t>xcel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文件的形式，进行体检信息批量登记。支持多种数据源的E</w:t>
            </w:r>
            <w:r>
              <w:rPr>
                <w:rFonts w:ascii="宋体" w:hAnsi="宋体" w:eastAsia="宋体"/>
                <w:sz w:val="21"/>
                <w:szCs w:val="21"/>
              </w:rPr>
              <w:t>xcel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文件，如：自定义、国网视力数据、国网体质数据进行一键式体检登记。登记过程中智能识别表格数据，具有错误信息自动修正、已登记信息提醒、错误数据警告功能。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vMerge w:val="continue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721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依据档案登记</w:t>
            </w:r>
          </w:p>
        </w:tc>
        <w:tc>
          <w:tcPr>
            <w:tcW w:w="5393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依据学生基础档案信息进行批量体检登记。适用场景为：第二次体检时已有学生档案数据或由学校负责学生档案导入，体检机构负责登记。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vMerge w:val="continue"/>
            <w:vAlign w:val="center"/>
          </w:tcPr>
          <w:p>
            <w:pPr>
              <w:spacing w:line="300" w:lineRule="auto"/>
              <w:ind w:firstLine="48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721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导检表单打印</w:t>
            </w:r>
          </w:p>
        </w:tc>
        <w:tc>
          <w:tcPr>
            <w:tcW w:w="5393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批量打印导检单、导检纸、导检码。导检单打印规格为A</w:t>
            </w:r>
            <w:r>
              <w:rPr>
                <w:rFonts w:ascii="宋体" w:hAnsi="宋体" w:eastAsia="宋体"/>
                <w:sz w:val="21"/>
                <w:szCs w:val="21"/>
              </w:rPr>
              <w:t>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纸张，显示各科名称和医生签名表格；导检纸打印规格为A</w:t>
            </w:r>
            <w:r>
              <w:rPr>
                <w:rFonts w:ascii="宋体" w:hAnsi="宋体" w:eastAsia="宋体"/>
                <w:sz w:val="21"/>
                <w:szCs w:val="21"/>
              </w:rPr>
              <w:t>4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纸张，以学校、年级、班级为单位4X</w:t>
            </w:r>
            <w:r>
              <w:rPr>
                <w:rFonts w:ascii="宋体" w:hAnsi="宋体" w:eastAsia="宋体"/>
                <w:sz w:val="21"/>
                <w:szCs w:val="21"/>
              </w:rPr>
              <w:t>4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列的形式显示二维码和学生信息；导检码打印规格为不干胶热敏纸，为每个学生打印体检条码。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vMerge w:val="continue"/>
            <w:vAlign w:val="center"/>
          </w:tcPr>
          <w:p>
            <w:pPr>
              <w:spacing w:line="300" w:lineRule="auto"/>
              <w:ind w:firstLine="48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721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屈光数据导入</w:t>
            </w:r>
          </w:p>
        </w:tc>
        <w:tc>
          <w:tcPr>
            <w:tcW w:w="5393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支持自定义、视力筛查仪、国网视力屈光数据直接导入系统，并进行智能化数据合并后，形成系统要求的数据元素，以便于后期评价统计分析。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数据上报</w:t>
            </w:r>
          </w:p>
        </w:tc>
        <w:tc>
          <w:tcPr>
            <w:tcW w:w="1721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国网监测数据</w:t>
            </w:r>
          </w:p>
        </w:tc>
        <w:tc>
          <w:tcPr>
            <w:tcW w:w="5393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支持生成国家体质监测网要求一致的E</w:t>
            </w:r>
            <w:r>
              <w:rPr>
                <w:rFonts w:ascii="宋体" w:hAnsi="宋体" w:eastAsia="宋体"/>
                <w:sz w:val="21"/>
                <w:szCs w:val="21"/>
              </w:rPr>
              <w:t>xcel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上报文件（视力数据、体质数据上报文件）。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vMerge w:val="restart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体检报告</w:t>
            </w:r>
          </w:p>
        </w:tc>
        <w:tc>
          <w:tcPr>
            <w:tcW w:w="1721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个体体检报告</w:t>
            </w:r>
          </w:p>
        </w:tc>
        <w:tc>
          <w:tcPr>
            <w:tcW w:w="5393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以学校、年级、班级等条件批量生成个体体检报告。批量生成的个体报告与单个生成个体报告内容、样式、结构一致。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vMerge w:val="continue"/>
            <w:vAlign w:val="center"/>
          </w:tcPr>
          <w:p>
            <w:pPr>
              <w:spacing w:line="300" w:lineRule="auto"/>
              <w:ind w:firstLine="48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721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多年度体检表</w:t>
            </w:r>
          </w:p>
        </w:tc>
        <w:tc>
          <w:tcPr>
            <w:tcW w:w="5393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依据国标格式批量生成多年度体检表。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vMerge w:val="continue"/>
            <w:vAlign w:val="center"/>
          </w:tcPr>
          <w:p>
            <w:pPr>
              <w:spacing w:line="300" w:lineRule="auto"/>
              <w:ind w:firstLine="48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721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体检总结报告</w:t>
            </w:r>
          </w:p>
        </w:tc>
        <w:tc>
          <w:tcPr>
            <w:tcW w:w="5393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支持区域/校级的体检总结报告输出。支持标准化WORD、PDF、XPS、TIFF格式的文件下载。图文并茂，内容翔实，语义化输出。校级报告一般达到1</w:t>
            </w:r>
            <w:r>
              <w:rPr>
                <w:rFonts w:ascii="宋体" w:hAnsi="宋体" w:eastAsia="宋体"/>
                <w:sz w:val="21"/>
                <w:szCs w:val="21"/>
              </w:rPr>
              <w:t>50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页，区域报告一般达到</w:t>
            </w:r>
            <w:r>
              <w:rPr>
                <w:rFonts w:ascii="宋体" w:hAnsi="宋体" w:eastAsia="宋体"/>
                <w:sz w:val="21"/>
                <w:szCs w:val="21"/>
              </w:rPr>
              <w:t>300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页。报告含有各项统计表格，可作为档案留存。</w:t>
            </w:r>
          </w:p>
        </w:tc>
      </w:tr>
    </w:tbl>
    <w:p>
      <w:pPr>
        <w:rPr>
          <w:rFonts w:hint="eastAsia"/>
          <w:sz w:val="21"/>
          <w:szCs w:val="21"/>
        </w:rPr>
      </w:pPr>
    </w:p>
    <w:p>
      <w:pPr>
        <w:pStyle w:val="4"/>
        <w:numPr>
          <w:ilvl w:val="1"/>
          <w:numId w:val="6"/>
        </w:numPr>
        <w:tabs>
          <w:tab w:val="left" w:pos="360"/>
          <w:tab w:val="clear" w:pos="567"/>
        </w:tabs>
        <w:spacing w:line="300" w:lineRule="auto"/>
        <w:ind w:left="0" w:firstLine="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健康服务中心</w:t>
      </w:r>
    </w:p>
    <w:tbl>
      <w:tblPr>
        <w:tblStyle w:val="17"/>
        <w:tblW w:w="88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9"/>
        <w:gridCol w:w="71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shd w:val="pct5" w:color="auto" w:fill="auto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主模块</w:t>
            </w:r>
          </w:p>
        </w:tc>
        <w:tc>
          <w:tcPr>
            <w:tcW w:w="7103" w:type="dxa"/>
            <w:shd w:val="pct5" w:color="auto" w:fill="auto"/>
          </w:tcPr>
          <w:p>
            <w:pPr>
              <w:spacing w:line="300" w:lineRule="auto"/>
              <w:ind w:firstLine="482"/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功能说明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预约信息</w:t>
            </w:r>
          </w:p>
        </w:tc>
        <w:tc>
          <w:tcPr>
            <w:tcW w:w="7103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医院管理家长通过电子回执系统提交的在线预约信息。支持预约信息跟进功能，签到后数据直接纳入相应的就诊科室。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就诊中心</w:t>
            </w:r>
          </w:p>
        </w:tc>
        <w:tc>
          <w:tcPr>
            <w:tcW w:w="7103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就诊信息的记录与管理。就诊过程中可直接调阅历次体检的健康档案。就诊数据体系依据学生基础档案建立，就诊数据可直接归集到学生健康档案。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39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反馈回执</w:t>
            </w:r>
          </w:p>
        </w:tc>
        <w:tc>
          <w:tcPr>
            <w:tcW w:w="7103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通过指定条件，批量生成指定范围和情况下的营养、视力、脊柱、口腔反馈表。反馈表一式二联，上部显示相关筛查信息，下部显示最终复诊结果。复诊后可交付学校备案留档。</w:t>
            </w:r>
          </w:p>
        </w:tc>
      </w:tr>
    </w:tbl>
    <w:p>
      <w:pPr>
        <w:rPr>
          <w:rFonts w:hint="eastAsia"/>
          <w:sz w:val="21"/>
          <w:szCs w:val="21"/>
        </w:rPr>
      </w:pPr>
    </w:p>
    <w:p>
      <w:pPr>
        <w:pStyle w:val="4"/>
        <w:numPr>
          <w:ilvl w:val="1"/>
          <w:numId w:val="6"/>
        </w:numPr>
        <w:tabs>
          <w:tab w:val="left" w:pos="360"/>
          <w:tab w:val="clear" w:pos="567"/>
        </w:tabs>
        <w:spacing w:line="300" w:lineRule="auto"/>
        <w:ind w:left="0" w:firstLine="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数据评价分析</w:t>
      </w:r>
    </w:p>
    <w:tbl>
      <w:tblPr>
        <w:tblStyle w:val="17"/>
        <w:tblW w:w="88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9"/>
        <w:gridCol w:w="71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tcBorders>
              <w:bottom w:val="single" w:color="auto" w:sz="4" w:space="0"/>
            </w:tcBorders>
            <w:shd w:val="pct5" w:color="auto" w:fill="auto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主模块</w:t>
            </w:r>
          </w:p>
        </w:tc>
        <w:tc>
          <w:tcPr>
            <w:tcW w:w="7103" w:type="dxa"/>
            <w:tcBorders>
              <w:bottom w:val="single" w:color="auto" w:sz="4" w:space="0"/>
            </w:tcBorders>
            <w:shd w:val="pct5" w:color="auto" w:fill="auto"/>
          </w:tcPr>
          <w:p>
            <w:pPr>
              <w:spacing w:line="300" w:lineRule="auto"/>
              <w:ind w:firstLine="482"/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功能说明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shd w:val="clear" w:color="auto" w:fill="auto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整体功能</w:t>
            </w:r>
          </w:p>
        </w:tc>
        <w:tc>
          <w:tcPr>
            <w:tcW w:w="7103" w:type="dxa"/>
            <w:shd w:val="clear" w:color="auto" w:fill="auto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采用分析结果界面与最终E</w:t>
            </w:r>
            <w:r>
              <w:rPr>
                <w:rFonts w:ascii="宋体" w:hAnsi="宋体" w:eastAsia="宋体"/>
                <w:sz w:val="21"/>
                <w:szCs w:val="21"/>
              </w:rPr>
              <w:t>xcel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文件一体化展示方式。支持依据区域、学校、学段、年级、年龄进行分类数据分析；可选择多所学校进行分析；分析结果可进行饼图、柱状图、线形图、堆叠图、三维图进行展示；具有AI读表功能，可通过“评价分析、健康提升、智慧思维”三个角度实现智能化数据解读与决策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体检情况</w:t>
            </w:r>
          </w:p>
        </w:tc>
        <w:tc>
          <w:tcPr>
            <w:tcW w:w="7103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分析学校/年级/班级的体检情况，最小粒度为学生。通过三层数据查阅的机制，可满足不同用户的分析需要。第一层分学段和年级展示整体情况，第二层分班级展示体检情况，第三层按学生展示科目检查情况。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体检数据</w:t>
            </w:r>
          </w:p>
        </w:tc>
        <w:tc>
          <w:tcPr>
            <w:tcW w:w="7103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支持健康体检数据、患病学生数据的分析与导出。可依据十六类体检科目分别或组合式导出。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体检异常</w:t>
            </w:r>
          </w:p>
        </w:tc>
        <w:tc>
          <w:tcPr>
            <w:tcW w:w="7103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体检异常信息统计分项。支持十六科目的组合式选择统计分析。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健康排名</w:t>
            </w:r>
          </w:p>
        </w:tc>
        <w:tc>
          <w:tcPr>
            <w:tcW w:w="7103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依据国标的健康指数分析与排名。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历年对比</w:t>
            </w:r>
          </w:p>
        </w:tc>
        <w:tc>
          <w:tcPr>
            <w:tcW w:w="7103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自主年度选择式对比分析（支持1</w:t>
            </w:r>
            <w:r>
              <w:rPr>
                <w:rFonts w:ascii="宋体" w:hAnsi="宋体" w:eastAsia="宋体"/>
                <w:sz w:val="21"/>
                <w:szCs w:val="21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年间的数据对比）。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工作情况</w:t>
            </w:r>
          </w:p>
        </w:tc>
        <w:tc>
          <w:tcPr>
            <w:tcW w:w="7103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各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医疗机构/医生的分科工作情况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张统计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科目评价</w:t>
            </w:r>
          </w:p>
        </w:tc>
        <w:tc>
          <w:tcPr>
            <w:tcW w:w="7103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支持对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既往史、身高发育、营养不良、超重肥胖、血压、内科、外科、脊柱、眼科、肺活量、耳鼻喉、龋齿、牙周、胸透、心电图、</w:t>
            </w:r>
            <w:r>
              <w:rPr>
                <w:rFonts w:ascii="宋体" w:hAnsi="宋体" w:eastAsia="宋体"/>
                <w:sz w:val="21"/>
                <w:szCs w:val="21"/>
              </w:rPr>
              <w:t>PPD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（结核菌素试验）、实验室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等科目进行评价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视力评价</w:t>
            </w:r>
          </w:p>
        </w:tc>
        <w:tc>
          <w:tcPr>
            <w:tcW w:w="7103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支持对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视力（视力不良）、近视、散光、远视、视力矫正、屈光不正、转诊建议、新发近视、新发视力不良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等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视力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进行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评价。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脊柱评价</w:t>
            </w:r>
          </w:p>
        </w:tc>
        <w:tc>
          <w:tcPr>
            <w:tcW w:w="7103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支持对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脊柱病史、脊柱侧弯筛查、胸/腰胸/腰段、前后弯曲异常、脊柱侧弯等级、初筛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等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结果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进行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评价。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专项统计</w:t>
            </w:r>
          </w:p>
        </w:tc>
        <w:tc>
          <w:tcPr>
            <w:tcW w:w="7103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支持对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科目体检人数、体检有效人数、身高区间、体重区间、健康指数、指标异常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进行统计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回执情况</w:t>
            </w:r>
          </w:p>
        </w:tc>
        <w:tc>
          <w:tcPr>
            <w:tcW w:w="7103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支持对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家长回执签收情况查阅与分析。涵盖：回执信息查阅与管理、回执信息分析、回执信息统计。</w:t>
            </w:r>
          </w:p>
        </w:tc>
      </w:tr>
    </w:tbl>
    <w:p>
      <w:pPr>
        <w:rPr>
          <w:rFonts w:hint="eastAsia"/>
          <w:sz w:val="21"/>
          <w:szCs w:val="21"/>
        </w:rPr>
      </w:pPr>
    </w:p>
    <w:p>
      <w:pPr>
        <w:pStyle w:val="4"/>
        <w:numPr>
          <w:ilvl w:val="1"/>
          <w:numId w:val="6"/>
        </w:numPr>
        <w:tabs>
          <w:tab w:val="left" w:pos="360"/>
          <w:tab w:val="clear" w:pos="567"/>
        </w:tabs>
        <w:spacing w:line="300" w:lineRule="auto"/>
        <w:ind w:left="0" w:firstLine="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学生档案信息</w:t>
      </w:r>
    </w:p>
    <w:tbl>
      <w:tblPr>
        <w:tblStyle w:val="17"/>
        <w:tblW w:w="88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9"/>
        <w:gridCol w:w="71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shd w:val="pct5" w:color="auto" w:fill="auto"/>
          </w:tcPr>
          <w:p>
            <w:pPr>
              <w:spacing w:line="300" w:lineRule="auto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主模块</w:t>
            </w:r>
          </w:p>
        </w:tc>
        <w:tc>
          <w:tcPr>
            <w:tcW w:w="7103" w:type="dxa"/>
            <w:shd w:val="pct5" w:color="auto" w:fill="auto"/>
          </w:tcPr>
          <w:p>
            <w:pPr>
              <w:spacing w:line="300" w:lineRule="auto"/>
              <w:ind w:firstLine="482"/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功能说明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健康档案</w:t>
            </w:r>
          </w:p>
        </w:tc>
        <w:tc>
          <w:tcPr>
            <w:tcW w:w="7103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依据机构权限，分层级查阅学生历年历次的体检/视力筛查信息，并下载体检报告。对身高、营养状况、视力、血压、肺活量以线形图的形式展示成长曲线。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学生档案</w:t>
            </w:r>
          </w:p>
        </w:tc>
        <w:tc>
          <w:tcPr>
            <w:tcW w:w="7103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依据学籍数据特征的学生档案信息。支持学生六类学生状态的管理，支持学生档案数据变更（升班/升学/毕业转校等）的追踪。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39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家长信息</w:t>
            </w:r>
          </w:p>
        </w:tc>
        <w:tc>
          <w:tcPr>
            <w:tcW w:w="7103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查阅与管理电子回执系统中家长主动关联多个孩子的数据信息。该关联信息用于就诊信息的监护人（家长）获取。</w:t>
            </w:r>
          </w:p>
        </w:tc>
      </w:tr>
    </w:tbl>
    <w:p>
      <w:pPr>
        <w:rPr>
          <w:rFonts w:hint="eastAsia"/>
          <w:sz w:val="21"/>
          <w:szCs w:val="21"/>
        </w:rPr>
      </w:pPr>
    </w:p>
    <w:p>
      <w:pPr>
        <w:pStyle w:val="4"/>
        <w:numPr>
          <w:ilvl w:val="1"/>
          <w:numId w:val="6"/>
        </w:numPr>
        <w:tabs>
          <w:tab w:val="left" w:pos="360"/>
          <w:tab w:val="clear" w:pos="567"/>
        </w:tabs>
        <w:spacing w:line="300" w:lineRule="auto"/>
        <w:ind w:left="0" w:firstLine="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机构权限管理</w:t>
      </w:r>
    </w:p>
    <w:tbl>
      <w:tblPr>
        <w:tblStyle w:val="17"/>
        <w:tblW w:w="88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9"/>
        <w:gridCol w:w="2115"/>
        <w:gridCol w:w="50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tcBorders>
              <w:bottom w:val="single" w:color="auto" w:sz="4" w:space="0"/>
            </w:tcBorders>
            <w:shd w:val="pct5" w:color="auto" w:fill="auto"/>
          </w:tcPr>
          <w:p>
            <w:pPr>
              <w:spacing w:line="300" w:lineRule="auto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主模块</w:t>
            </w:r>
          </w:p>
        </w:tc>
        <w:tc>
          <w:tcPr>
            <w:tcW w:w="2115" w:type="dxa"/>
            <w:tcBorders>
              <w:bottom w:val="single" w:color="auto" w:sz="4" w:space="0"/>
            </w:tcBorders>
            <w:shd w:val="pct5" w:color="auto" w:fill="auto"/>
          </w:tcPr>
          <w:p>
            <w:pPr>
              <w:spacing w:line="300" w:lineRule="auto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子模块</w:t>
            </w:r>
          </w:p>
        </w:tc>
        <w:tc>
          <w:tcPr>
            <w:tcW w:w="5002" w:type="dxa"/>
            <w:tcBorders>
              <w:bottom w:val="single" w:color="auto" w:sz="4" w:space="0"/>
            </w:tcBorders>
            <w:shd w:val="pct5" w:color="auto" w:fill="auto"/>
          </w:tcPr>
          <w:p>
            <w:pPr>
              <w:spacing w:line="300" w:lineRule="auto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功能说明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shd w:val="clear" w:color="auto" w:fill="auto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整体功能</w:t>
            </w:r>
          </w:p>
        </w:tc>
        <w:tc>
          <w:tcPr>
            <w:tcW w:w="7117" w:type="dxa"/>
            <w:gridSpan w:val="2"/>
            <w:shd w:val="clear" w:color="auto" w:fill="auto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依据四大层级（省、市、区县、乡镇街办）建立五类机构分层管理体系；依据教体局与学校、卫健委与疾控中心和医院的行政关系建立应用逻辑管理体系；依据单位与用户的关系，结合角色权限建立用户体系。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vMerge w:val="restart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学校机构</w:t>
            </w:r>
          </w:p>
        </w:tc>
        <w:tc>
          <w:tcPr>
            <w:tcW w:w="2115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学校信息管理</w:t>
            </w:r>
          </w:p>
        </w:tc>
        <w:tc>
          <w:tcPr>
            <w:tcW w:w="5002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各教学校区域化管理。支持为学校设定：幼儿园、小学、初中、高中、高职高专、大学六个学段。可设置单一学段，也可设置混合学段。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vMerge w:val="continue"/>
            <w:vAlign w:val="center"/>
          </w:tcPr>
          <w:p>
            <w:pPr>
              <w:spacing w:line="300" w:lineRule="auto"/>
              <w:ind w:firstLine="48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115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用户信息管理</w:t>
            </w:r>
          </w:p>
        </w:tc>
        <w:tc>
          <w:tcPr>
            <w:tcW w:w="5002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管理学校内的相应用户信息。与“角色权限”组合，形成校级用户信息管理机制。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vMerge w:val="restart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医疗机构</w:t>
            </w:r>
          </w:p>
        </w:tc>
        <w:tc>
          <w:tcPr>
            <w:tcW w:w="2115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医疗机构管理</w:t>
            </w:r>
          </w:p>
        </w:tc>
        <w:tc>
          <w:tcPr>
            <w:tcW w:w="5002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各医疗机构区域化管理。可设置“负责学校”，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实现指定医疗机构分片区、分学校进行学生健康体检与服务工作。具有相关医疗资质设定功能。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vMerge w:val="continue"/>
            <w:vAlign w:val="center"/>
          </w:tcPr>
          <w:p>
            <w:pPr>
              <w:spacing w:line="300" w:lineRule="auto"/>
              <w:ind w:firstLine="48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115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用户信息管理</w:t>
            </w:r>
          </w:p>
        </w:tc>
        <w:tc>
          <w:tcPr>
            <w:tcW w:w="5002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具有从业资格证书与编号设定功能。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vMerge w:val="continue"/>
            <w:vAlign w:val="center"/>
          </w:tcPr>
          <w:p>
            <w:pPr>
              <w:spacing w:line="300" w:lineRule="auto"/>
              <w:ind w:firstLine="48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115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体检团队管理</w:t>
            </w:r>
          </w:p>
        </w:tc>
        <w:tc>
          <w:tcPr>
            <w:tcW w:w="5002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医院/体检机构可设定多个体检团队，本机构内的体检团队负责指定的学校体检工作。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vMerge w:val="continue"/>
            <w:vAlign w:val="center"/>
          </w:tcPr>
          <w:p>
            <w:pPr>
              <w:spacing w:line="300" w:lineRule="auto"/>
              <w:ind w:firstLine="48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115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工作人员导入</w:t>
            </w:r>
          </w:p>
        </w:tc>
        <w:tc>
          <w:tcPr>
            <w:tcW w:w="5002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支持通过E</w:t>
            </w:r>
            <w:r>
              <w:rPr>
                <w:rFonts w:ascii="宋体" w:hAnsi="宋体" w:eastAsia="宋体"/>
                <w:sz w:val="21"/>
                <w:szCs w:val="21"/>
              </w:rPr>
              <w:t>xcel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批量建立医院内工作人员账户。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vMerge w:val="restart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疾控机构</w:t>
            </w:r>
          </w:p>
        </w:tc>
        <w:tc>
          <w:tcPr>
            <w:tcW w:w="2115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疾控机构管理</w:t>
            </w:r>
          </w:p>
        </w:tc>
        <w:tc>
          <w:tcPr>
            <w:tcW w:w="5002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各疾控中心区域化管理。系统开启体检单位类型含有“疾控机构”后，可设置“负责学校”。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vMerge w:val="continue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115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用户信息管理</w:t>
            </w:r>
          </w:p>
        </w:tc>
        <w:tc>
          <w:tcPr>
            <w:tcW w:w="5002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管理疾控中心内的相应用户信息。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vMerge w:val="continue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115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体检团队管理</w:t>
            </w:r>
          </w:p>
        </w:tc>
        <w:tc>
          <w:tcPr>
            <w:tcW w:w="5002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系统开启体检单位类型含有“疾控机构”后，可设定多个体检团队，本机构内的体检团队负责指定的学校体检工作。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vMerge w:val="continue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115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工作人员导入</w:t>
            </w:r>
          </w:p>
        </w:tc>
        <w:tc>
          <w:tcPr>
            <w:tcW w:w="5002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支持通过E</w:t>
            </w:r>
            <w:r>
              <w:rPr>
                <w:rFonts w:ascii="宋体" w:hAnsi="宋体" w:eastAsia="宋体"/>
                <w:sz w:val="21"/>
                <w:szCs w:val="21"/>
              </w:rPr>
              <w:t>xcel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批量建立本单位内工作人员账户。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vMerge w:val="restart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教育机构</w:t>
            </w:r>
          </w:p>
        </w:tc>
        <w:tc>
          <w:tcPr>
            <w:tcW w:w="2115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教育机构管理</w:t>
            </w:r>
          </w:p>
        </w:tc>
        <w:tc>
          <w:tcPr>
            <w:tcW w:w="5002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各教体局区域化机构管理。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vMerge w:val="continue"/>
            <w:vAlign w:val="center"/>
          </w:tcPr>
          <w:p>
            <w:pPr>
              <w:spacing w:line="300" w:lineRule="auto"/>
              <w:ind w:firstLine="48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115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用户信息管理</w:t>
            </w:r>
          </w:p>
        </w:tc>
        <w:tc>
          <w:tcPr>
            <w:tcW w:w="5002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管理各教体局机构内的相应用户信息。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vMerge w:val="restart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卫健机构</w:t>
            </w:r>
          </w:p>
        </w:tc>
        <w:tc>
          <w:tcPr>
            <w:tcW w:w="2115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卫健机构管理</w:t>
            </w:r>
          </w:p>
        </w:tc>
        <w:tc>
          <w:tcPr>
            <w:tcW w:w="5002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各卫健委区域化管理。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vMerge w:val="continue"/>
            <w:vAlign w:val="center"/>
          </w:tcPr>
          <w:p>
            <w:pPr>
              <w:spacing w:line="300" w:lineRule="auto"/>
              <w:ind w:firstLine="48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115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用户信息管理</w:t>
            </w:r>
          </w:p>
        </w:tc>
        <w:tc>
          <w:tcPr>
            <w:tcW w:w="5002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管理各卫健委机构内的相应用户信息。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vMerge w:val="restart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角色权限</w:t>
            </w:r>
          </w:p>
        </w:tc>
        <w:tc>
          <w:tcPr>
            <w:tcW w:w="2115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角色权限设定</w:t>
            </w:r>
          </w:p>
        </w:tc>
        <w:tc>
          <w:tcPr>
            <w:tcW w:w="5002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支持通过分组快速选择定义角色权限。支持权限变化，用户功能即变化。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vMerge w:val="continue"/>
            <w:vAlign w:val="center"/>
          </w:tcPr>
          <w:p>
            <w:pPr>
              <w:spacing w:line="300" w:lineRule="auto"/>
              <w:ind w:firstLine="48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115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角色权限分组</w:t>
            </w:r>
          </w:p>
        </w:tc>
        <w:tc>
          <w:tcPr>
            <w:tcW w:w="5002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对常用角色权限分组管理。 </w:t>
            </w:r>
          </w:p>
        </w:tc>
      </w:tr>
    </w:tbl>
    <w:p>
      <w:pPr>
        <w:rPr>
          <w:rFonts w:hint="eastAsia"/>
          <w:sz w:val="21"/>
          <w:szCs w:val="21"/>
        </w:rPr>
      </w:pPr>
    </w:p>
    <w:p>
      <w:pPr>
        <w:pStyle w:val="4"/>
        <w:numPr>
          <w:ilvl w:val="1"/>
          <w:numId w:val="6"/>
        </w:numPr>
        <w:tabs>
          <w:tab w:val="left" w:pos="360"/>
          <w:tab w:val="clear" w:pos="567"/>
        </w:tabs>
        <w:spacing w:line="300" w:lineRule="auto"/>
        <w:ind w:left="0" w:firstLine="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系统综合管理</w:t>
      </w:r>
    </w:p>
    <w:tbl>
      <w:tblPr>
        <w:tblStyle w:val="17"/>
        <w:tblW w:w="88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7"/>
        <w:gridCol w:w="1983"/>
        <w:gridCol w:w="52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7" w:type="dxa"/>
            <w:tcBorders>
              <w:bottom w:val="single" w:color="auto" w:sz="4" w:space="0"/>
            </w:tcBorders>
            <w:shd w:val="pct5" w:color="auto" w:fill="auto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主模块</w:t>
            </w:r>
          </w:p>
        </w:tc>
        <w:tc>
          <w:tcPr>
            <w:tcW w:w="1983" w:type="dxa"/>
            <w:tcBorders>
              <w:bottom w:val="single" w:color="auto" w:sz="4" w:space="0"/>
            </w:tcBorders>
            <w:shd w:val="pct5" w:color="auto" w:fill="auto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功能</w:t>
            </w:r>
          </w:p>
        </w:tc>
        <w:tc>
          <w:tcPr>
            <w:tcW w:w="5215" w:type="dxa"/>
            <w:tcBorders>
              <w:bottom w:val="single" w:color="auto" w:sz="4" w:space="0"/>
            </w:tcBorders>
            <w:shd w:val="pct5" w:color="auto" w:fill="auto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功能说明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7" w:type="dxa"/>
            <w:shd w:val="clear" w:color="auto" w:fill="auto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通知公告</w:t>
            </w:r>
          </w:p>
        </w:tc>
        <w:tc>
          <w:tcPr>
            <w:tcW w:w="7198" w:type="dxa"/>
            <w:gridSpan w:val="2"/>
            <w:shd w:val="clear" w:color="auto" w:fill="auto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支持图文、附件类通知公告的发布。可设置通知公告的重要程度；所上传附件可通过AI自动识别为通知内容；发布后的公告针对系统用户在上部界面自动进行待阅提醒；管理人员可查阅相应公告的人员查阅情况。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7" w:type="dxa"/>
            <w:shd w:val="clear" w:color="auto" w:fill="auto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健康知识</w:t>
            </w:r>
          </w:p>
        </w:tc>
        <w:tc>
          <w:tcPr>
            <w:tcW w:w="7198" w:type="dxa"/>
            <w:gridSpan w:val="2"/>
            <w:shd w:val="clear" w:color="auto" w:fill="auto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支持无限层级栏目设置；支持图文、视频发布，具备AI摘要、AI识图功能；具有分科标签设置功能，设置后在电子回执系统的相应检查结果科目可查阅该健康知识；支持微信文章“搬家”功能，可一键将微信文章迁移至系统健康知识库中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7" w:type="dxa"/>
            <w:vMerge w:val="restart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体检设置</w:t>
            </w:r>
          </w:p>
        </w:tc>
        <w:tc>
          <w:tcPr>
            <w:tcW w:w="1983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疾病症状信息</w:t>
            </w:r>
          </w:p>
        </w:tc>
        <w:tc>
          <w:tcPr>
            <w:tcW w:w="5215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全项目疾病症状信息设置（已内置2</w:t>
            </w:r>
            <w:r>
              <w:rPr>
                <w:rFonts w:ascii="宋体" w:hAnsi="宋体" w:eastAsia="宋体"/>
                <w:sz w:val="21"/>
                <w:szCs w:val="21"/>
              </w:rPr>
              <w:t>73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条常见疾病症状信息）。设置（增删改）后，管理平台与手机APP自动更新。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7" w:type="dxa"/>
            <w:vMerge w:val="continue"/>
          </w:tcPr>
          <w:p>
            <w:pPr>
              <w:spacing w:line="300" w:lineRule="auto"/>
              <w:ind w:firstLine="48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983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健康指导建议</w:t>
            </w:r>
          </w:p>
        </w:tc>
        <w:tc>
          <w:tcPr>
            <w:tcW w:w="5215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支持撰写个性化指导建议模板，涵盖日常和异常两类建议，并依据十六项体检科目进行自主化定制。可对异常复查、异常结论进行定义，支持指定情况的建议显示。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7" w:type="dxa"/>
            <w:vMerge w:val="continue"/>
          </w:tcPr>
          <w:p>
            <w:pPr>
              <w:spacing w:line="300" w:lineRule="auto"/>
              <w:ind w:firstLine="48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983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体检录入校验</w:t>
            </w:r>
          </w:p>
        </w:tc>
        <w:tc>
          <w:tcPr>
            <w:tcW w:w="5215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全项目体检录入校验设置。支持数值、文本、单选、多选类的验证机制；具有“允许输入”的特殊情况设置功能；可单独设置范围提示与未填提示信息。设置（增删改）后，管理平台与手机APP自动更新。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7" w:type="dxa"/>
            <w:vMerge w:val="continue"/>
            <w:vAlign w:val="center"/>
          </w:tcPr>
          <w:p>
            <w:pPr>
              <w:spacing w:line="300" w:lineRule="auto"/>
              <w:ind w:firstLine="48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983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体检类别管理</w:t>
            </w:r>
          </w:p>
        </w:tc>
        <w:tc>
          <w:tcPr>
            <w:tcW w:w="5215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依据体检类型、国家规范、学段自主选择各项体检科目，形成各类体检类别（套餐式）。 支持区分式报告样式（导检单、个人体检报告、多年体检表）的设定。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7" w:type="dxa"/>
            <w:vMerge w:val="restart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数据字典</w:t>
            </w:r>
          </w:p>
        </w:tc>
        <w:tc>
          <w:tcPr>
            <w:tcW w:w="1983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年级划分字典</w:t>
            </w:r>
          </w:p>
        </w:tc>
        <w:tc>
          <w:tcPr>
            <w:tcW w:w="5215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依据常见病监测规范标准编码，支持简称设定。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7" w:type="dxa"/>
            <w:vMerge w:val="continue"/>
            <w:vAlign w:val="center"/>
          </w:tcPr>
          <w:p>
            <w:pPr>
              <w:spacing w:line="300" w:lineRule="auto"/>
              <w:ind w:firstLine="48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983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专业划分字典</w:t>
            </w:r>
          </w:p>
        </w:tc>
        <w:tc>
          <w:tcPr>
            <w:tcW w:w="5215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用于中等职业院校、大学的专业划分。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7" w:type="dxa"/>
            <w:vMerge w:val="continue"/>
            <w:vAlign w:val="center"/>
          </w:tcPr>
          <w:p>
            <w:pPr>
              <w:spacing w:line="300" w:lineRule="auto"/>
              <w:ind w:firstLine="48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983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扩展数据字典</w:t>
            </w:r>
          </w:p>
        </w:tc>
        <w:tc>
          <w:tcPr>
            <w:tcW w:w="5215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国标编码结合自主编码，涵盖7类字典类型，可自由扩充。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7" w:type="dxa"/>
            <w:vMerge w:val="continue"/>
            <w:vAlign w:val="center"/>
          </w:tcPr>
          <w:p>
            <w:pPr>
              <w:spacing w:line="300" w:lineRule="auto"/>
              <w:ind w:firstLine="48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983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民族数据字典</w:t>
            </w:r>
          </w:p>
        </w:tc>
        <w:tc>
          <w:tcPr>
            <w:tcW w:w="5215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国标编码。具有排序权重功能，可在特定民族聚集地区将指定民族选项置顶显示，便于快速选择。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7" w:type="dxa"/>
            <w:vMerge w:val="continue"/>
            <w:vAlign w:val="center"/>
          </w:tcPr>
          <w:p>
            <w:pPr>
              <w:spacing w:line="300" w:lineRule="auto"/>
              <w:ind w:firstLine="48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983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行政区划字典</w:t>
            </w:r>
          </w:p>
        </w:tc>
        <w:tc>
          <w:tcPr>
            <w:tcW w:w="5215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国标编码，支持自主维护，自主区域制定。一般情况下：国家发布的最新行政区划后，在5个工作日内为系统进行更新。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7" w:type="dxa"/>
            <w:vMerge w:val="restart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日志信息</w:t>
            </w:r>
          </w:p>
        </w:tc>
        <w:tc>
          <w:tcPr>
            <w:tcW w:w="1983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用户登录日志</w:t>
            </w:r>
          </w:p>
        </w:tc>
        <w:tc>
          <w:tcPr>
            <w:tcW w:w="5215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记录用户的登录成功/失败日志。含有：登录状态、登录方式、IP、用户名、尝试密码、用户代理、登录时间等信息。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7" w:type="dxa"/>
            <w:vMerge w:val="continue"/>
            <w:vAlign w:val="center"/>
          </w:tcPr>
          <w:p>
            <w:pPr>
              <w:spacing w:line="300" w:lineRule="auto"/>
              <w:ind w:firstLine="48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983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系统操作日志</w:t>
            </w:r>
          </w:p>
        </w:tc>
        <w:tc>
          <w:tcPr>
            <w:tcW w:w="5215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记录用户的系统功能操作日志，含有：请求模式、请求长度、访问路径、URL参数、IP、用户登录、操作时间等信息。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7" w:type="dxa"/>
            <w:vMerge w:val="continue"/>
            <w:vAlign w:val="center"/>
          </w:tcPr>
          <w:p>
            <w:pPr>
              <w:spacing w:line="300" w:lineRule="auto"/>
              <w:ind w:firstLine="48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983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数据操作日志</w:t>
            </w:r>
          </w:p>
        </w:tc>
        <w:tc>
          <w:tcPr>
            <w:tcW w:w="5215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记录系统的数据库操作日志。含有：数据表名、操作方式、执行用时、执行语句、执行参数、执行时间、操作用户等信息。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7" w:type="dxa"/>
            <w:vMerge w:val="restart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文件管理</w:t>
            </w:r>
          </w:p>
        </w:tc>
        <w:tc>
          <w:tcPr>
            <w:tcW w:w="1983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临时文件管理</w:t>
            </w:r>
          </w:p>
        </w:tc>
        <w:tc>
          <w:tcPr>
            <w:tcW w:w="5215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管理系统中临时上传/生成的各类文件（一般由数据导入导出产生），支持批量删除操作，可有效节省磁盘空间。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7" w:type="dxa"/>
            <w:vMerge w:val="continue"/>
            <w:vAlign w:val="center"/>
          </w:tcPr>
          <w:p>
            <w:pPr>
              <w:spacing w:line="300" w:lineRule="auto"/>
              <w:ind w:firstLine="48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983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上传文件管理</w:t>
            </w:r>
          </w:p>
        </w:tc>
        <w:tc>
          <w:tcPr>
            <w:tcW w:w="5215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管理系统中（通知公告、健康知识）在用/未用文件。可自动删除未用文件。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7" w:type="dxa"/>
            <w:vMerge w:val="restart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评价标准</w:t>
            </w:r>
          </w:p>
        </w:tc>
        <w:tc>
          <w:tcPr>
            <w:tcW w:w="1983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儿童健康评价</w:t>
            </w:r>
          </w:p>
        </w:tc>
        <w:tc>
          <w:tcPr>
            <w:tcW w:w="5215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依据三项国标，以0</w:t>
            </w:r>
            <w:r>
              <w:rPr>
                <w:rFonts w:ascii="宋体" w:hAnsi="宋体" w:eastAsia="宋体"/>
                <w:sz w:val="21"/>
                <w:szCs w:val="21"/>
              </w:rPr>
              <w:t>-81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月龄（0</w:t>
            </w:r>
            <w:r>
              <w:rPr>
                <w:rFonts w:ascii="宋体" w:hAnsi="宋体" w:eastAsia="宋体"/>
                <w:sz w:val="21"/>
                <w:szCs w:val="21"/>
              </w:rPr>
              <w:t>-6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岁9个月）为基准，形成：年龄别体重、年龄别身高、身高别体重、年龄别BMI评价标准。适用于学龄前（幼儿（园））健康评价体系。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7" w:type="dxa"/>
            <w:vMerge w:val="continue"/>
          </w:tcPr>
          <w:p>
            <w:pPr>
              <w:spacing w:line="300" w:lineRule="auto"/>
              <w:ind w:firstLine="48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983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学生健康评价</w:t>
            </w:r>
          </w:p>
        </w:tc>
        <w:tc>
          <w:tcPr>
            <w:tcW w:w="5215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依据五项国标，两项规范建立。以6</w:t>
            </w:r>
            <w:r>
              <w:rPr>
                <w:rFonts w:ascii="宋体" w:hAnsi="宋体" w:eastAsia="宋体"/>
                <w:sz w:val="21"/>
                <w:szCs w:val="21"/>
              </w:rPr>
              <w:t>-18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岁为基准，形成：消瘦、超重与肥胖、生长迟缓、身高发育等级、腰围、身高水平、收缩压、舒张压、肺活量、脊柱弯曲评价体系。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7" w:type="dxa"/>
            <w:vMerge w:val="continue"/>
          </w:tcPr>
          <w:p>
            <w:pPr>
              <w:spacing w:line="300" w:lineRule="auto"/>
              <w:ind w:firstLine="48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983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视力屈光评价</w:t>
            </w:r>
          </w:p>
        </w:tc>
        <w:tc>
          <w:tcPr>
            <w:tcW w:w="5215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依据一项国标及相关标准建立。形成：视力不良、近视、远视、散光、转诊建议评价体系。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7" w:type="dxa"/>
            <w:vMerge w:val="continue"/>
          </w:tcPr>
          <w:p>
            <w:pPr>
              <w:spacing w:line="300" w:lineRule="auto"/>
              <w:ind w:firstLine="48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983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其他评价标准</w:t>
            </w:r>
          </w:p>
        </w:tc>
        <w:tc>
          <w:tcPr>
            <w:tcW w:w="5215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依据筛查规范建立。用于：结核菌素试验、龋病流行程度、发育水平评分。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7" w:type="dxa"/>
            <w:vMerge w:val="continue"/>
          </w:tcPr>
          <w:p>
            <w:pPr>
              <w:spacing w:line="300" w:lineRule="auto"/>
              <w:ind w:firstLine="48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983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检验检测标准</w:t>
            </w:r>
          </w:p>
        </w:tc>
        <w:tc>
          <w:tcPr>
            <w:tcW w:w="5215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用于实验室检验结果判定，支持男性与女性分别式判断，可自主添加或修改。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7" w:type="dxa"/>
            <w:vMerge w:val="continue"/>
          </w:tcPr>
          <w:p>
            <w:pPr>
              <w:spacing w:line="300" w:lineRule="auto"/>
              <w:ind w:firstLine="48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983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复测参考标准</w:t>
            </w:r>
          </w:p>
        </w:tc>
        <w:tc>
          <w:tcPr>
            <w:tcW w:w="5215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依据“常见病监测”标准建立。用于手机APP数据提交后的验证。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7" w:type="dxa"/>
            <w:vMerge w:val="continue"/>
          </w:tcPr>
          <w:p>
            <w:pPr>
              <w:spacing w:line="300" w:lineRule="auto"/>
              <w:ind w:firstLine="48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983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回执系统设置</w:t>
            </w:r>
          </w:p>
        </w:tc>
        <w:tc>
          <w:tcPr>
            <w:tcW w:w="5215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回执签收说明、咨询回复单位、复查提示科目、个性化、允许预约复查设置。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7" w:type="dxa"/>
            <w:vMerge w:val="continue"/>
          </w:tcPr>
          <w:p>
            <w:pPr>
              <w:spacing w:line="300" w:lineRule="auto"/>
              <w:ind w:firstLine="48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983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人工智能设置</w:t>
            </w:r>
          </w:p>
        </w:tc>
        <w:tc>
          <w:tcPr>
            <w:tcW w:w="5215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文章内容生成概述、智能文件识别、智能留言回复、智能健康建议、智能报表分析的开启与关闭设置。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7" w:type="dxa"/>
            <w:vMerge w:val="continue"/>
          </w:tcPr>
          <w:p>
            <w:pPr>
              <w:spacing w:line="300" w:lineRule="auto"/>
              <w:ind w:firstLine="48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983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安全访问设置</w:t>
            </w:r>
          </w:p>
        </w:tc>
        <w:tc>
          <w:tcPr>
            <w:tcW w:w="5215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符合三级等保要求的安全设置功能，支持：用户锁定、</w:t>
            </w:r>
            <w:r>
              <w:rPr>
                <w:rFonts w:ascii="宋体" w:hAnsi="宋体" w:eastAsia="宋体"/>
                <w:sz w:val="21"/>
                <w:szCs w:val="21"/>
              </w:rPr>
              <w:t>IP锁定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、访问控制、日志记录的方式方法设定。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7" w:type="dxa"/>
            <w:vMerge w:val="continue"/>
          </w:tcPr>
          <w:p>
            <w:pPr>
              <w:spacing w:line="300" w:lineRule="auto"/>
              <w:ind w:firstLine="48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983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系统基础设置</w:t>
            </w:r>
          </w:p>
        </w:tc>
        <w:tc>
          <w:tcPr>
            <w:tcW w:w="5215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应用设置、上传设置、短信设置、APP设置。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/>
          <w:b/>
          <w:bCs/>
          <w:color w:val="auto"/>
          <w:sz w:val="21"/>
          <w:szCs w:val="21"/>
          <w:lang w:eastAsia="zh-CN"/>
        </w:rPr>
      </w:pPr>
      <w:bookmarkStart w:id="3" w:name="_Toc201311830"/>
      <w:bookmarkEnd w:id="3"/>
      <w:bookmarkStart w:id="4" w:name="_Toc201260208"/>
      <w:bookmarkEnd w:id="4"/>
      <w:bookmarkStart w:id="5" w:name="_Toc201145437"/>
      <w:bookmarkEnd w:id="5"/>
      <w:bookmarkStart w:id="6" w:name="_Toc201234019"/>
      <w:bookmarkEnd w:id="6"/>
      <w:bookmarkStart w:id="7" w:name="_Toc201163170"/>
      <w:bookmarkEnd w:id="7"/>
      <w:bookmarkStart w:id="8" w:name="_Toc201770433"/>
      <w:bookmarkEnd w:id="8"/>
      <w:bookmarkStart w:id="9" w:name="_Toc201770039"/>
      <w:bookmarkEnd w:id="9"/>
      <w:bookmarkStart w:id="10" w:name="_Toc201410899"/>
      <w:bookmarkEnd w:id="10"/>
      <w:bookmarkStart w:id="11" w:name="_Toc201504094"/>
      <w:bookmarkEnd w:id="11"/>
      <w:bookmarkStart w:id="12" w:name="_Toc201502966"/>
      <w:bookmarkEnd w:id="12"/>
      <w:bookmarkStart w:id="13" w:name="_Toc201492450"/>
      <w:bookmarkEnd w:id="13"/>
      <w:bookmarkStart w:id="14" w:name="_Toc201412382"/>
      <w:bookmarkEnd w:id="14"/>
      <w:bookmarkStart w:id="15" w:name="_Toc201502214"/>
      <w:bookmarkEnd w:id="15"/>
      <w:bookmarkStart w:id="16" w:name="_Toc201496577"/>
      <w:bookmarkEnd w:id="16"/>
      <w:bookmarkStart w:id="17" w:name="_Toc201504845"/>
      <w:bookmarkEnd w:id="17"/>
      <w:bookmarkStart w:id="18" w:name="_Toc201503718"/>
      <w:bookmarkEnd w:id="18"/>
      <w:bookmarkStart w:id="19" w:name="_Toc201412022"/>
      <w:bookmarkEnd w:id="19"/>
      <w:bookmarkStart w:id="20" w:name="_Toc201501839"/>
      <w:bookmarkEnd w:id="20"/>
      <w:bookmarkStart w:id="21" w:name="_Toc201504470"/>
      <w:bookmarkEnd w:id="21"/>
      <w:bookmarkStart w:id="22" w:name="_Toc201502592"/>
      <w:bookmarkEnd w:id="22"/>
      <w:bookmarkStart w:id="23" w:name="_Toc201503341"/>
      <w:bookmarkEnd w:id="23"/>
      <w:bookmarkStart w:id="24" w:name="_Toc201593302"/>
      <w:bookmarkEnd w:id="24"/>
      <w:bookmarkStart w:id="25" w:name="_Toc201596838"/>
      <w:bookmarkEnd w:id="25"/>
      <w:bookmarkStart w:id="26" w:name="_Toc201649850"/>
      <w:bookmarkEnd w:id="26"/>
      <w:bookmarkStart w:id="27" w:name="_Toc201743310"/>
      <w:bookmarkEnd w:id="27"/>
      <w:bookmarkStart w:id="28" w:name="_Toc201582042"/>
      <w:bookmarkEnd w:id="28"/>
      <w:bookmarkStart w:id="29" w:name="_Toc201575092"/>
      <w:bookmarkEnd w:id="29"/>
      <w:bookmarkStart w:id="30" w:name="_Toc201653542"/>
      <w:bookmarkEnd w:id="30"/>
      <w:bookmarkStart w:id="31" w:name="_Toc201676602"/>
      <w:bookmarkEnd w:id="31"/>
      <w:bookmarkStart w:id="32" w:name="_Toc201508231"/>
      <w:bookmarkEnd w:id="32"/>
      <w:bookmarkStart w:id="33" w:name="_Toc201508609"/>
      <w:bookmarkEnd w:id="33"/>
      <w:bookmarkStart w:id="34" w:name="_Toc201597216"/>
      <w:bookmarkEnd w:id="34"/>
      <w:bookmarkStart w:id="35" w:name="_Toc201648042"/>
      <w:bookmarkEnd w:id="35"/>
      <w:bookmarkStart w:id="36" w:name="_Toc201581661"/>
      <w:bookmarkEnd w:id="36"/>
      <w:bookmarkStart w:id="37" w:name="_Toc201582419"/>
      <w:bookmarkEnd w:id="37"/>
      <w:bookmarkStart w:id="38" w:name="_Toc201574712"/>
      <w:bookmarkEnd w:id="38"/>
      <w:bookmarkStart w:id="39" w:name="_Toc201506727"/>
      <w:bookmarkEnd w:id="39"/>
      <w:bookmarkStart w:id="40" w:name="_Toc201743689"/>
      <w:bookmarkEnd w:id="40"/>
      <w:bookmarkStart w:id="41" w:name="_Toc201505597"/>
      <w:bookmarkEnd w:id="41"/>
      <w:bookmarkStart w:id="42" w:name="_Toc201506347"/>
      <w:bookmarkEnd w:id="42"/>
      <w:bookmarkStart w:id="43" w:name="_Toc201505221"/>
      <w:bookmarkEnd w:id="43"/>
      <w:bookmarkStart w:id="44" w:name="_Toc201505973"/>
      <w:bookmarkEnd w:id="44"/>
      <w:bookmarkStart w:id="45" w:name="_Toc201507101"/>
      <w:bookmarkEnd w:id="45"/>
      <w:bookmarkStart w:id="46" w:name="_Toc201507475"/>
      <w:bookmarkEnd w:id="46"/>
      <w:bookmarkStart w:id="47" w:name="_Toc201507850"/>
      <w:bookmarkEnd w:id="47"/>
      <w:r>
        <w:rPr>
          <w:rFonts w:ascii="宋体" w:hAnsi="宋体" w:cs="Arial"/>
          <w:color w:val="auto"/>
          <w:szCs w:val="21"/>
        </w:rPr>
        <w:t>★</w:t>
      </w:r>
      <w:bookmarkStart w:id="48" w:name="_Toc201508232"/>
      <w:bookmarkEnd w:id="48"/>
      <w:bookmarkStart w:id="49" w:name="_Toc201507851"/>
      <w:bookmarkEnd w:id="49"/>
      <w:bookmarkStart w:id="50" w:name="_Toc201507476"/>
      <w:bookmarkEnd w:id="50"/>
      <w:bookmarkStart w:id="51" w:name="_Toc201507102"/>
      <w:bookmarkEnd w:id="51"/>
      <w:bookmarkStart w:id="52" w:name="_Toc201506728"/>
      <w:bookmarkEnd w:id="52"/>
      <w:bookmarkStart w:id="53" w:name="_Toc201506348"/>
      <w:bookmarkEnd w:id="53"/>
      <w:bookmarkStart w:id="54" w:name="_Toc201505974"/>
      <w:bookmarkEnd w:id="54"/>
      <w:bookmarkStart w:id="55" w:name="_Toc201505598"/>
      <w:bookmarkEnd w:id="55"/>
      <w:bookmarkStart w:id="56" w:name="_Toc201505222"/>
      <w:bookmarkEnd w:id="56"/>
      <w:bookmarkStart w:id="57" w:name="_Toc201504846"/>
      <w:bookmarkEnd w:id="57"/>
      <w:bookmarkStart w:id="58" w:name="_Toc201504471"/>
      <w:bookmarkEnd w:id="58"/>
      <w:bookmarkStart w:id="59" w:name="_Toc201504095"/>
      <w:bookmarkEnd w:id="59"/>
      <w:bookmarkStart w:id="60" w:name="_Toc201503719"/>
      <w:bookmarkEnd w:id="60"/>
      <w:bookmarkStart w:id="61" w:name="_Toc201503342"/>
      <w:bookmarkEnd w:id="61"/>
      <w:bookmarkStart w:id="62" w:name="_Toc201502967"/>
      <w:bookmarkEnd w:id="62"/>
      <w:bookmarkStart w:id="63" w:name="_Toc201502593"/>
      <w:bookmarkEnd w:id="63"/>
      <w:bookmarkStart w:id="64" w:name="_Toc201502215"/>
      <w:bookmarkEnd w:id="64"/>
      <w:bookmarkStart w:id="65" w:name="_Toc201501840"/>
      <w:bookmarkEnd w:id="65"/>
      <w:bookmarkStart w:id="66" w:name="_Toc201496578"/>
      <w:bookmarkEnd w:id="66"/>
      <w:bookmarkStart w:id="67" w:name="_Toc201163171"/>
      <w:bookmarkEnd w:id="67"/>
      <w:bookmarkStart w:id="68" w:name="_Toc201492451"/>
      <w:bookmarkEnd w:id="68"/>
      <w:bookmarkStart w:id="69" w:name="_Toc201412383"/>
      <w:bookmarkEnd w:id="69"/>
      <w:bookmarkStart w:id="70" w:name="_Toc201412023"/>
      <w:bookmarkEnd w:id="70"/>
      <w:bookmarkStart w:id="71" w:name="_Toc201410900"/>
      <w:bookmarkEnd w:id="71"/>
      <w:bookmarkStart w:id="72" w:name="_Toc201311831"/>
      <w:bookmarkEnd w:id="72"/>
      <w:bookmarkStart w:id="73" w:name="_Toc201260209"/>
      <w:bookmarkEnd w:id="73"/>
      <w:bookmarkStart w:id="74" w:name="_Toc201234020"/>
      <w:bookmarkEnd w:id="74"/>
      <w:bookmarkStart w:id="75" w:name="_Toc201145438"/>
      <w:bookmarkEnd w:id="75"/>
      <w:bookmarkStart w:id="76" w:name="_Toc201508610"/>
      <w:bookmarkEnd w:id="76"/>
      <w:bookmarkStart w:id="77" w:name="_Toc201574713"/>
      <w:bookmarkEnd w:id="77"/>
      <w:bookmarkStart w:id="78" w:name="_Toc201575093"/>
      <w:bookmarkEnd w:id="78"/>
      <w:bookmarkStart w:id="79" w:name="_Toc201581662"/>
      <w:bookmarkEnd w:id="79"/>
      <w:bookmarkStart w:id="80" w:name="_Toc201582043"/>
      <w:bookmarkEnd w:id="80"/>
      <w:bookmarkStart w:id="81" w:name="_Toc201582420"/>
      <w:bookmarkEnd w:id="81"/>
      <w:bookmarkStart w:id="82" w:name="_Toc201593303"/>
      <w:bookmarkEnd w:id="82"/>
      <w:bookmarkStart w:id="83" w:name="_Toc201596839"/>
      <w:bookmarkEnd w:id="83"/>
      <w:bookmarkStart w:id="84" w:name="_Toc201597217"/>
      <w:bookmarkEnd w:id="84"/>
      <w:bookmarkStart w:id="85" w:name="_Toc201648043"/>
      <w:bookmarkEnd w:id="85"/>
      <w:bookmarkStart w:id="86" w:name="_Toc201649851"/>
      <w:bookmarkEnd w:id="86"/>
      <w:bookmarkStart w:id="87" w:name="_Toc201653543"/>
      <w:bookmarkEnd w:id="87"/>
      <w:bookmarkStart w:id="88" w:name="_Toc201676603"/>
      <w:bookmarkEnd w:id="88"/>
      <w:bookmarkStart w:id="89" w:name="_Toc201743311"/>
      <w:bookmarkEnd w:id="89"/>
      <w:bookmarkStart w:id="90" w:name="_Toc201743690"/>
      <w:bookmarkEnd w:id="90"/>
      <w:bookmarkStart w:id="91" w:name="_Toc201770040"/>
      <w:bookmarkEnd w:id="91"/>
      <w:bookmarkStart w:id="92" w:name="_Toc201770434"/>
      <w:bookmarkEnd w:id="92"/>
      <w:bookmarkStart w:id="93" w:name="_Toc201770435"/>
      <w:r>
        <w:rPr>
          <w:rFonts w:hint="eastAsia" w:ascii="宋体" w:hAnsi="宋体" w:eastAsia="宋体"/>
          <w:b/>
          <w:bCs/>
          <w:color w:val="auto"/>
          <w:sz w:val="21"/>
          <w:szCs w:val="21"/>
          <w:lang w:val="en-US" w:eastAsia="zh-CN"/>
        </w:rPr>
        <w:t>2.</w:t>
      </w:r>
      <w:bookmarkEnd w:id="93"/>
      <w:r>
        <w:rPr>
          <w:rFonts w:hint="eastAsia" w:ascii="宋体" w:hAnsi="宋体" w:eastAsia="宋体"/>
          <w:b/>
          <w:bCs/>
          <w:color w:val="auto"/>
          <w:szCs w:val="21"/>
        </w:rPr>
        <w:t>提供校园健康体检管理原生外检APP， 同时支持 Android、iOS 系统，Android 最低兼容 Android12.0 及以上；iOS 最低兼容 iOS16 及以上。</w:t>
      </w:r>
    </w:p>
    <w:p>
      <w:pPr>
        <w:pStyle w:val="28"/>
        <w:keepNext/>
        <w:keepLines/>
        <w:numPr>
          <w:ilvl w:val="0"/>
          <w:numId w:val="7"/>
        </w:numPr>
        <w:spacing w:line="300" w:lineRule="auto"/>
        <w:ind w:firstLineChars="0"/>
        <w:outlineLvl w:val="3"/>
        <w:rPr>
          <w:rFonts w:hint="eastAsia" w:ascii="宋体" w:hAnsi="宋体" w:eastAsia="宋体"/>
          <w:vanish/>
          <w:sz w:val="21"/>
          <w:szCs w:val="21"/>
        </w:rPr>
      </w:pPr>
      <w:bookmarkStart w:id="94" w:name="_Toc201163173"/>
      <w:bookmarkEnd w:id="94"/>
      <w:bookmarkStart w:id="95" w:name="_Toc201234022"/>
      <w:bookmarkEnd w:id="95"/>
      <w:bookmarkStart w:id="96" w:name="_Toc201260211"/>
      <w:bookmarkEnd w:id="96"/>
      <w:bookmarkStart w:id="97" w:name="_Toc201311833"/>
      <w:bookmarkEnd w:id="97"/>
      <w:bookmarkStart w:id="98" w:name="_Toc201410902"/>
      <w:bookmarkEnd w:id="98"/>
      <w:bookmarkStart w:id="99" w:name="_Toc201412025"/>
      <w:bookmarkEnd w:id="99"/>
      <w:bookmarkStart w:id="100" w:name="_Toc201412385"/>
      <w:bookmarkEnd w:id="100"/>
      <w:bookmarkStart w:id="101" w:name="_Toc201492453"/>
      <w:bookmarkEnd w:id="101"/>
      <w:bookmarkStart w:id="102" w:name="_Toc201496580"/>
      <w:bookmarkEnd w:id="102"/>
      <w:bookmarkStart w:id="103" w:name="_Toc201501842"/>
      <w:bookmarkEnd w:id="103"/>
      <w:bookmarkStart w:id="104" w:name="_Toc201502217"/>
      <w:bookmarkEnd w:id="104"/>
      <w:bookmarkStart w:id="105" w:name="_Toc201502595"/>
      <w:bookmarkEnd w:id="105"/>
      <w:bookmarkStart w:id="106" w:name="_Toc201502969"/>
      <w:bookmarkEnd w:id="106"/>
      <w:bookmarkStart w:id="107" w:name="_Toc201503344"/>
      <w:bookmarkEnd w:id="107"/>
      <w:bookmarkStart w:id="108" w:name="_Toc201503721"/>
      <w:bookmarkEnd w:id="108"/>
      <w:bookmarkStart w:id="109" w:name="_Toc201504097"/>
      <w:bookmarkEnd w:id="109"/>
      <w:bookmarkStart w:id="110" w:name="_Toc201504473"/>
      <w:bookmarkEnd w:id="110"/>
      <w:bookmarkStart w:id="111" w:name="_Toc201504848"/>
      <w:bookmarkEnd w:id="111"/>
      <w:bookmarkStart w:id="112" w:name="_Toc201505224"/>
      <w:bookmarkEnd w:id="112"/>
      <w:bookmarkStart w:id="113" w:name="_Toc201505600"/>
      <w:bookmarkEnd w:id="113"/>
      <w:bookmarkStart w:id="114" w:name="_Toc201505976"/>
      <w:bookmarkEnd w:id="114"/>
      <w:bookmarkStart w:id="115" w:name="_Toc201506350"/>
      <w:bookmarkEnd w:id="115"/>
      <w:bookmarkStart w:id="116" w:name="_Toc201506730"/>
      <w:bookmarkEnd w:id="116"/>
      <w:bookmarkStart w:id="117" w:name="_Toc201507104"/>
      <w:bookmarkEnd w:id="117"/>
      <w:bookmarkStart w:id="118" w:name="_Toc201507478"/>
      <w:bookmarkEnd w:id="118"/>
      <w:bookmarkStart w:id="119" w:name="_Toc201507853"/>
      <w:bookmarkEnd w:id="119"/>
      <w:bookmarkStart w:id="120" w:name="_Toc201508234"/>
      <w:bookmarkEnd w:id="120"/>
      <w:bookmarkStart w:id="121" w:name="_Toc201508612"/>
      <w:bookmarkEnd w:id="121"/>
      <w:bookmarkStart w:id="122" w:name="_Toc201574715"/>
      <w:bookmarkEnd w:id="122"/>
      <w:bookmarkStart w:id="123" w:name="_Toc201575095"/>
      <w:bookmarkEnd w:id="123"/>
      <w:bookmarkStart w:id="124" w:name="_Toc201581664"/>
      <w:bookmarkEnd w:id="124"/>
      <w:bookmarkStart w:id="125" w:name="_Toc201582045"/>
      <w:bookmarkEnd w:id="125"/>
      <w:bookmarkStart w:id="126" w:name="_Toc201582422"/>
      <w:bookmarkEnd w:id="126"/>
      <w:bookmarkStart w:id="127" w:name="_Toc201593305"/>
      <w:bookmarkEnd w:id="127"/>
      <w:bookmarkStart w:id="128" w:name="_Toc201596841"/>
      <w:bookmarkEnd w:id="128"/>
      <w:bookmarkStart w:id="129" w:name="_Toc201597219"/>
      <w:bookmarkEnd w:id="129"/>
      <w:bookmarkStart w:id="130" w:name="_Toc201648045"/>
      <w:bookmarkEnd w:id="130"/>
      <w:bookmarkStart w:id="131" w:name="_Toc201649853"/>
      <w:bookmarkEnd w:id="131"/>
      <w:bookmarkStart w:id="132" w:name="_Toc201653545"/>
      <w:bookmarkEnd w:id="132"/>
      <w:bookmarkStart w:id="133" w:name="_Toc201676605"/>
      <w:bookmarkEnd w:id="133"/>
      <w:bookmarkStart w:id="134" w:name="_Toc201743313"/>
      <w:bookmarkEnd w:id="134"/>
      <w:bookmarkStart w:id="135" w:name="_Toc201743692"/>
      <w:bookmarkEnd w:id="135"/>
      <w:bookmarkStart w:id="136" w:name="_Toc201770042"/>
      <w:bookmarkEnd w:id="136"/>
      <w:bookmarkStart w:id="137" w:name="_Toc201770436"/>
      <w:bookmarkEnd w:id="137"/>
    </w:p>
    <w:p>
      <w:pPr>
        <w:pStyle w:val="28"/>
        <w:keepNext/>
        <w:keepLines/>
        <w:numPr>
          <w:ilvl w:val="0"/>
          <w:numId w:val="7"/>
        </w:numPr>
        <w:spacing w:line="300" w:lineRule="auto"/>
        <w:ind w:firstLineChars="0"/>
        <w:outlineLvl w:val="3"/>
        <w:rPr>
          <w:rFonts w:hint="eastAsia" w:ascii="宋体" w:hAnsi="宋体" w:eastAsia="宋体"/>
          <w:vanish/>
          <w:sz w:val="21"/>
          <w:szCs w:val="21"/>
        </w:rPr>
      </w:pPr>
      <w:bookmarkStart w:id="138" w:name="_Toc201163174"/>
      <w:bookmarkEnd w:id="138"/>
      <w:bookmarkStart w:id="139" w:name="_Toc201234023"/>
      <w:bookmarkEnd w:id="139"/>
      <w:bookmarkStart w:id="140" w:name="_Toc201260212"/>
      <w:bookmarkEnd w:id="140"/>
      <w:bookmarkStart w:id="141" w:name="_Toc201311834"/>
      <w:bookmarkEnd w:id="141"/>
      <w:bookmarkStart w:id="142" w:name="_Toc201410903"/>
      <w:bookmarkEnd w:id="142"/>
      <w:bookmarkStart w:id="143" w:name="_Toc201412026"/>
      <w:bookmarkEnd w:id="143"/>
      <w:bookmarkStart w:id="144" w:name="_Toc201412386"/>
      <w:bookmarkEnd w:id="144"/>
      <w:bookmarkStart w:id="145" w:name="_Toc201492454"/>
      <w:bookmarkEnd w:id="145"/>
      <w:bookmarkStart w:id="146" w:name="_Toc201496581"/>
      <w:bookmarkEnd w:id="146"/>
      <w:bookmarkStart w:id="147" w:name="_Toc201501843"/>
      <w:bookmarkEnd w:id="147"/>
      <w:bookmarkStart w:id="148" w:name="_Toc201502218"/>
      <w:bookmarkEnd w:id="148"/>
      <w:bookmarkStart w:id="149" w:name="_Toc201502596"/>
      <w:bookmarkEnd w:id="149"/>
      <w:bookmarkStart w:id="150" w:name="_Toc201502970"/>
      <w:bookmarkEnd w:id="150"/>
      <w:bookmarkStart w:id="151" w:name="_Toc201503345"/>
      <w:bookmarkEnd w:id="151"/>
      <w:bookmarkStart w:id="152" w:name="_Toc201503722"/>
      <w:bookmarkEnd w:id="152"/>
      <w:bookmarkStart w:id="153" w:name="_Toc201504098"/>
      <w:bookmarkEnd w:id="153"/>
      <w:bookmarkStart w:id="154" w:name="_Toc201504474"/>
      <w:bookmarkEnd w:id="154"/>
      <w:bookmarkStart w:id="155" w:name="_Toc201504849"/>
      <w:bookmarkEnd w:id="155"/>
      <w:bookmarkStart w:id="156" w:name="_Toc201505225"/>
      <w:bookmarkEnd w:id="156"/>
      <w:bookmarkStart w:id="157" w:name="_Toc201505601"/>
      <w:bookmarkEnd w:id="157"/>
      <w:bookmarkStart w:id="158" w:name="_Toc201505977"/>
      <w:bookmarkEnd w:id="158"/>
      <w:bookmarkStart w:id="159" w:name="_Toc201506351"/>
      <w:bookmarkEnd w:id="159"/>
      <w:bookmarkStart w:id="160" w:name="_Toc201506731"/>
      <w:bookmarkEnd w:id="160"/>
      <w:bookmarkStart w:id="161" w:name="_Toc201507105"/>
      <w:bookmarkEnd w:id="161"/>
      <w:bookmarkStart w:id="162" w:name="_Toc201507479"/>
      <w:bookmarkEnd w:id="162"/>
      <w:bookmarkStart w:id="163" w:name="_Toc201507854"/>
      <w:bookmarkEnd w:id="163"/>
      <w:bookmarkStart w:id="164" w:name="_Toc201508235"/>
      <w:bookmarkEnd w:id="164"/>
      <w:bookmarkStart w:id="165" w:name="_Toc201508613"/>
      <w:bookmarkEnd w:id="165"/>
      <w:bookmarkStart w:id="166" w:name="_Toc201574716"/>
      <w:bookmarkEnd w:id="166"/>
      <w:bookmarkStart w:id="167" w:name="_Toc201575096"/>
      <w:bookmarkEnd w:id="167"/>
      <w:bookmarkStart w:id="168" w:name="_Toc201581665"/>
      <w:bookmarkEnd w:id="168"/>
      <w:bookmarkStart w:id="169" w:name="_Toc201582046"/>
      <w:bookmarkEnd w:id="169"/>
      <w:bookmarkStart w:id="170" w:name="_Toc201582423"/>
      <w:bookmarkEnd w:id="170"/>
      <w:bookmarkStart w:id="171" w:name="_Toc201593306"/>
      <w:bookmarkEnd w:id="171"/>
      <w:bookmarkStart w:id="172" w:name="_Toc201596842"/>
      <w:bookmarkEnd w:id="172"/>
      <w:bookmarkStart w:id="173" w:name="_Toc201597220"/>
      <w:bookmarkEnd w:id="173"/>
      <w:bookmarkStart w:id="174" w:name="_Toc201648046"/>
      <w:bookmarkEnd w:id="174"/>
      <w:bookmarkStart w:id="175" w:name="_Toc201649854"/>
      <w:bookmarkEnd w:id="175"/>
      <w:bookmarkStart w:id="176" w:name="_Toc201653546"/>
      <w:bookmarkEnd w:id="176"/>
      <w:bookmarkStart w:id="177" w:name="_Toc201676606"/>
      <w:bookmarkEnd w:id="177"/>
      <w:bookmarkStart w:id="178" w:name="_Toc201743314"/>
      <w:bookmarkEnd w:id="178"/>
      <w:bookmarkStart w:id="179" w:name="_Toc201743693"/>
      <w:bookmarkEnd w:id="179"/>
      <w:bookmarkStart w:id="180" w:name="_Toc201770043"/>
      <w:bookmarkEnd w:id="180"/>
      <w:bookmarkStart w:id="181" w:name="_Toc201770437"/>
      <w:bookmarkEnd w:id="181"/>
    </w:p>
    <w:p>
      <w:pPr>
        <w:pStyle w:val="28"/>
        <w:keepNext/>
        <w:keepLines/>
        <w:numPr>
          <w:ilvl w:val="0"/>
          <w:numId w:val="7"/>
        </w:numPr>
        <w:spacing w:line="300" w:lineRule="auto"/>
        <w:ind w:firstLineChars="0"/>
        <w:outlineLvl w:val="3"/>
        <w:rPr>
          <w:rFonts w:hint="eastAsia" w:ascii="宋体" w:hAnsi="宋体" w:eastAsia="宋体"/>
          <w:vanish/>
          <w:sz w:val="21"/>
          <w:szCs w:val="21"/>
        </w:rPr>
      </w:pPr>
      <w:bookmarkStart w:id="182" w:name="_Toc201163175"/>
      <w:bookmarkEnd w:id="182"/>
      <w:bookmarkStart w:id="183" w:name="_Toc201234024"/>
      <w:bookmarkEnd w:id="183"/>
      <w:bookmarkStart w:id="184" w:name="_Toc201260213"/>
      <w:bookmarkEnd w:id="184"/>
      <w:bookmarkStart w:id="185" w:name="_Toc201311835"/>
      <w:bookmarkEnd w:id="185"/>
      <w:bookmarkStart w:id="186" w:name="_Toc201410904"/>
      <w:bookmarkEnd w:id="186"/>
      <w:bookmarkStart w:id="187" w:name="_Toc201412027"/>
      <w:bookmarkEnd w:id="187"/>
      <w:bookmarkStart w:id="188" w:name="_Toc201412387"/>
      <w:bookmarkEnd w:id="188"/>
      <w:bookmarkStart w:id="189" w:name="_Toc201492455"/>
      <w:bookmarkEnd w:id="189"/>
      <w:bookmarkStart w:id="190" w:name="_Toc201496582"/>
      <w:bookmarkEnd w:id="190"/>
      <w:bookmarkStart w:id="191" w:name="_Toc201501844"/>
      <w:bookmarkEnd w:id="191"/>
      <w:bookmarkStart w:id="192" w:name="_Toc201502219"/>
      <w:bookmarkEnd w:id="192"/>
      <w:bookmarkStart w:id="193" w:name="_Toc201502597"/>
      <w:bookmarkEnd w:id="193"/>
      <w:bookmarkStart w:id="194" w:name="_Toc201502971"/>
      <w:bookmarkEnd w:id="194"/>
      <w:bookmarkStart w:id="195" w:name="_Toc201503346"/>
      <w:bookmarkEnd w:id="195"/>
      <w:bookmarkStart w:id="196" w:name="_Toc201503723"/>
      <w:bookmarkEnd w:id="196"/>
      <w:bookmarkStart w:id="197" w:name="_Toc201504099"/>
      <w:bookmarkEnd w:id="197"/>
      <w:bookmarkStart w:id="198" w:name="_Toc201504475"/>
      <w:bookmarkEnd w:id="198"/>
      <w:bookmarkStart w:id="199" w:name="_Toc201504850"/>
      <w:bookmarkEnd w:id="199"/>
      <w:bookmarkStart w:id="200" w:name="_Toc201505226"/>
      <w:bookmarkEnd w:id="200"/>
      <w:bookmarkStart w:id="201" w:name="_Toc201505602"/>
      <w:bookmarkEnd w:id="201"/>
      <w:bookmarkStart w:id="202" w:name="_Toc201505978"/>
      <w:bookmarkEnd w:id="202"/>
      <w:bookmarkStart w:id="203" w:name="_Toc201506352"/>
      <w:bookmarkEnd w:id="203"/>
      <w:bookmarkStart w:id="204" w:name="_Toc201506732"/>
      <w:bookmarkEnd w:id="204"/>
      <w:bookmarkStart w:id="205" w:name="_Toc201507106"/>
      <w:bookmarkEnd w:id="205"/>
      <w:bookmarkStart w:id="206" w:name="_Toc201507480"/>
      <w:bookmarkEnd w:id="206"/>
      <w:bookmarkStart w:id="207" w:name="_Toc201507855"/>
      <w:bookmarkEnd w:id="207"/>
      <w:bookmarkStart w:id="208" w:name="_Toc201508236"/>
      <w:bookmarkEnd w:id="208"/>
      <w:bookmarkStart w:id="209" w:name="_Toc201508614"/>
      <w:bookmarkEnd w:id="209"/>
      <w:bookmarkStart w:id="210" w:name="_Toc201574717"/>
      <w:bookmarkEnd w:id="210"/>
      <w:bookmarkStart w:id="211" w:name="_Toc201575097"/>
      <w:bookmarkEnd w:id="211"/>
      <w:bookmarkStart w:id="212" w:name="_Toc201581666"/>
      <w:bookmarkEnd w:id="212"/>
      <w:bookmarkStart w:id="213" w:name="_Toc201582047"/>
      <w:bookmarkEnd w:id="213"/>
      <w:bookmarkStart w:id="214" w:name="_Toc201582424"/>
      <w:bookmarkEnd w:id="214"/>
      <w:bookmarkStart w:id="215" w:name="_Toc201593307"/>
      <w:bookmarkEnd w:id="215"/>
      <w:bookmarkStart w:id="216" w:name="_Toc201596843"/>
      <w:bookmarkEnd w:id="216"/>
      <w:bookmarkStart w:id="217" w:name="_Toc201597221"/>
      <w:bookmarkEnd w:id="217"/>
      <w:bookmarkStart w:id="218" w:name="_Toc201648047"/>
      <w:bookmarkEnd w:id="218"/>
      <w:bookmarkStart w:id="219" w:name="_Toc201649855"/>
      <w:bookmarkEnd w:id="219"/>
      <w:bookmarkStart w:id="220" w:name="_Toc201653547"/>
      <w:bookmarkEnd w:id="220"/>
      <w:bookmarkStart w:id="221" w:name="_Toc201676607"/>
      <w:bookmarkEnd w:id="221"/>
      <w:bookmarkStart w:id="222" w:name="_Toc201743315"/>
      <w:bookmarkEnd w:id="222"/>
      <w:bookmarkStart w:id="223" w:name="_Toc201743694"/>
      <w:bookmarkEnd w:id="223"/>
      <w:bookmarkStart w:id="224" w:name="_Toc201770044"/>
      <w:bookmarkEnd w:id="224"/>
      <w:bookmarkStart w:id="225" w:name="_Toc201770438"/>
      <w:bookmarkEnd w:id="225"/>
    </w:p>
    <w:p>
      <w:pPr>
        <w:pStyle w:val="28"/>
        <w:keepNext/>
        <w:keepLines/>
        <w:numPr>
          <w:ilvl w:val="0"/>
          <w:numId w:val="7"/>
        </w:numPr>
        <w:spacing w:line="300" w:lineRule="auto"/>
        <w:ind w:firstLineChars="0"/>
        <w:outlineLvl w:val="3"/>
        <w:rPr>
          <w:rFonts w:hint="eastAsia" w:ascii="宋体" w:hAnsi="宋体" w:eastAsia="宋体"/>
          <w:vanish/>
          <w:sz w:val="21"/>
          <w:szCs w:val="21"/>
        </w:rPr>
      </w:pPr>
      <w:bookmarkStart w:id="226" w:name="_Toc201163176"/>
      <w:bookmarkEnd w:id="226"/>
      <w:bookmarkStart w:id="227" w:name="_Toc201234025"/>
      <w:bookmarkEnd w:id="227"/>
      <w:bookmarkStart w:id="228" w:name="_Toc201260214"/>
      <w:bookmarkEnd w:id="228"/>
      <w:bookmarkStart w:id="229" w:name="_Toc201311836"/>
      <w:bookmarkEnd w:id="229"/>
      <w:bookmarkStart w:id="230" w:name="_Toc201410905"/>
      <w:bookmarkEnd w:id="230"/>
      <w:bookmarkStart w:id="231" w:name="_Toc201412028"/>
      <w:bookmarkEnd w:id="231"/>
      <w:bookmarkStart w:id="232" w:name="_Toc201412388"/>
      <w:bookmarkEnd w:id="232"/>
      <w:bookmarkStart w:id="233" w:name="_Toc201492456"/>
      <w:bookmarkEnd w:id="233"/>
      <w:bookmarkStart w:id="234" w:name="_Toc201496583"/>
      <w:bookmarkEnd w:id="234"/>
      <w:bookmarkStart w:id="235" w:name="_Toc201501845"/>
      <w:bookmarkEnd w:id="235"/>
      <w:bookmarkStart w:id="236" w:name="_Toc201502220"/>
      <w:bookmarkEnd w:id="236"/>
      <w:bookmarkStart w:id="237" w:name="_Toc201502598"/>
      <w:bookmarkEnd w:id="237"/>
      <w:bookmarkStart w:id="238" w:name="_Toc201502972"/>
      <w:bookmarkEnd w:id="238"/>
      <w:bookmarkStart w:id="239" w:name="_Toc201503347"/>
      <w:bookmarkEnd w:id="239"/>
      <w:bookmarkStart w:id="240" w:name="_Toc201503724"/>
      <w:bookmarkEnd w:id="240"/>
      <w:bookmarkStart w:id="241" w:name="_Toc201504100"/>
      <w:bookmarkEnd w:id="241"/>
      <w:bookmarkStart w:id="242" w:name="_Toc201504476"/>
      <w:bookmarkEnd w:id="242"/>
      <w:bookmarkStart w:id="243" w:name="_Toc201504851"/>
      <w:bookmarkEnd w:id="243"/>
      <w:bookmarkStart w:id="244" w:name="_Toc201505227"/>
      <w:bookmarkEnd w:id="244"/>
      <w:bookmarkStart w:id="245" w:name="_Toc201505603"/>
      <w:bookmarkEnd w:id="245"/>
      <w:bookmarkStart w:id="246" w:name="_Toc201505979"/>
      <w:bookmarkEnd w:id="246"/>
      <w:bookmarkStart w:id="247" w:name="_Toc201506353"/>
      <w:bookmarkEnd w:id="247"/>
      <w:bookmarkStart w:id="248" w:name="_Toc201506733"/>
      <w:bookmarkEnd w:id="248"/>
      <w:bookmarkStart w:id="249" w:name="_Toc201507107"/>
      <w:bookmarkEnd w:id="249"/>
      <w:bookmarkStart w:id="250" w:name="_Toc201507481"/>
      <w:bookmarkEnd w:id="250"/>
      <w:bookmarkStart w:id="251" w:name="_Toc201507856"/>
      <w:bookmarkEnd w:id="251"/>
      <w:bookmarkStart w:id="252" w:name="_Toc201508237"/>
      <w:bookmarkEnd w:id="252"/>
      <w:bookmarkStart w:id="253" w:name="_Toc201508615"/>
      <w:bookmarkEnd w:id="253"/>
      <w:bookmarkStart w:id="254" w:name="_Toc201574718"/>
      <w:bookmarkEnd w:id="254"/>
      <w:bookmarkStart w:id="255" w:name="_Toc201575098"/>
      <w:bookmarkEnd w:id="255"/>
      <w:bookmarkStart w:id="256" w:name="_Toc201581667"/>
      <w:bookmarkEnd w:id="256"/>
      <w:bookmarkStart w:id="257" w:name="_Toc201582048"/>
      <w:bookmarkEnd w:id="257"/>
      <w:bookmarkStart w:id="258" w:name="_Toc201582425"/>
      <w:bookmarkEnd w:id="258"/>
      <w:bookmarkStart w:id="259" w:name="_Toc201593308"/>
      <w:bookmarkEnd w:id="259"/>
      <w:bookmarkStart w:id="260" w:name="_Toc201596844"/>
      <w:bookmarkEnd w:id="260"/>
      <w:bookmarkStart w:id="261" w:name="_Toc201597222"/>
      <w:bookmarkEnd w:id="261"/>
      <w:bookmarkStart w:id="262" w:name="_Toc201648048"/>
      <w:bookmarkEnd w:id="262"/>
      <w:bookmarkStart w:id="263" w:name="_Toc201649856"/>
      <w:bookmarkEnd w:id="263"/>
      <w:bookmarkStart w:id="264" w:name="_Toc201653548"/>
      <w:bookmarkEnd w:id="264"/>
      <w:bookmarkStart w:id="265" w:name="_Toc201676608"/>
      <w:bookmarkEnd w:id="265"/>
      <w:bookmarkStart w:id="266" w:name="_Toc201743316"/>
      <w:bookmarkEnd w:id="266"/>
      <w:bookmarkStart w:id="267" w:name="_Toc201743695"/>
      <w:bookmarkEnd w:id="267"/>
      <w:bookmarkStart w:id="268" w:name="_Toc201770045"/>
      <w:bookmarkEnd w:id="268"/>
      <w:bookmarkStart w:id="269" w:name="_Toc201770439"/>
      <w:bookmarkEnd w:id="269"/>
    </w:p>
    <w:p>
      <w:pPr>
        <w:pStyle w:val="28"/>
        <w:keepNext/>
        <w:keepLines/>
        <w:numPr>
          <w:ilvl w:val="1"/>
          <w:numId w:val="7"/>
        </w:numPr>
        <w:spacing w:line="300" w:lineRule="auto"/>
        <w:ind w:firstLineChars="0"/>
        <w:outlineLvl w:val="3"/>
        <w:rPr>
          <w:rFonts w:hint="eastAsia" w:ascii="宋体" w:hAnsi="宋体" w:eastAsia="宋体"/>
          <w:vanish/>
          <w:sz w:val="21"/>
          <w:szCs w:val="21"/>
        </w:rPr>
      </w:pPr>
      <w:bookmarkStart w:id="270" w:name="_Toc201163177"/>
      <w:bookmarkEnd w:id="270"/>
      <w:bookmarkStart w:id="271" w:name="_Toc201234026"/>
      <w:bookmarkEnd w:id="271"/>
      <w:bookmarkStart w:id="272" w:name="_Toc201260215"/>
      <w:bookmarkEnd w:id="272"/>
      <w:bookmarkStart w:id="273" w:name="_Toc201311837"/>
      <w:bookmarkEnd w:id="273"/>
      <w:bookmarkStart w:id="274" w:name="_Toc201410906"/>
      <w:bookmarkEnd w:id="274"/>
      <w:bookmarkStart w:id="275" w:name="_Toc201412029"/>
      <w:bookmarkEnd w:id="275"/>
      <w:bookmarkStart w:id="276" w:name="_Toc201412389"/>
      <w:bookmarkEnd w:id="276"/>
      <w:bookmarkStart w:id="277" w:name="_Toc201492457"/>
      <w:bookmarkEnd w:id="277"/>
      <w:bookmarkStart w:id="278" w:name="_Toc201496584"/>
      <w:bookmarkEnd w:id="278"/>
      <w:bookmarkStart w:id="279" w:name="_Toc201501846"/>
      <w:bookmarkEnd w:id="279"/>
      <w:bookmarkStart w:id="280" w:name="_Toc201502221"/>
      <w:bookmarkEnd w:id="280"/>
      <w:bookmarkStart w:id="281" w:name="_Toc201502599"/>
      <w:bookmarkEnd w:id="281"/>
      <w:bookmarkStart w:id="282" w:name="_Toc201502973"/>
      <w:bookmarkEnd w:id="282"/>
      <w:bookmarkStart w:id="283" w:name="_Toc201503348"/>
      <w:bookmarkEnd w:id="283"/>
      <w:bookmarkStart w:id="284" w:name="_Toc201503725"/>
      <w:bookmarkEnd w:id="284"/>
      <w:bookmarkStart w:id="285" w:name="_Toc201504101"/>
      <w:bookmarkEnd w:id="285"/>
      <w:bookmarkStart w:id="286" w:name="_Toc201504477"/>
      <w:bookmarkEnd w:id="286"/>
      <w:bookmarkStart w:id="287" w:name="_Toc201504852"/>
      <w:bookmarkEnd w:id="287"/>
      <w:bookmarkStart w:id="288" w:name="_Toc201505228"/>
      <w:bookmarkEnd w:id="288"/>
      <w:bookmarkStart w:id="289" w:name="_Toc201505604"/>
      <w:bookmarkEnd w:id="289"/>
      <w:bookmarkStart w:id="290" w:name="_Toc201505980"/>
      <w:bookmarkEnd w:id="290"/>
      <w:bookmarkStart w:id="291" w:name="_Toc201506354"/>
      <w:bookmarkEnd w:id="291"/>
      <w:bookmarkStart w:id="292" w:name="_Toc201506734"/>
      <w:bookmarkEnd w:id="292"/>
      <w:bookmarkStart w:id="293" w:name="_Toc201507108"/>
      <w:bookmarkEnd w:id="293"/>
      <w:bookmarkStart w:id="294" w:name="_Toc201507482"/>
      <w:bookmarkEnd w:id="294"/>
      <w:bookmarkStart w:id="295" w:name="_Toc201507857"/>
      <w:bookmarkEnd w:id="295"/>
      <w:bookmarkStart w:id="296" w:name="_Toc201508238"/>
      <w:bookmarkEnd w:id="296"/>
      <w:bookmarkStart w:id="297" w:name="_Toc201508616"/>
      <w:bookmarkEnd w:id="297"/>
      <w:bookmarkStart w:id="298" w:name="_Toc201574719"/>
      <w:bookmarkEnd w:id="298"/>
      <w:bookmarkStart w:id="299" w:name="_Toc201575099"/>
      <w:bookmarkEnd w:id="299"/>
      <w:bookmarkStart w:id="300" w:name="_Toc201581668"/>
      <w:bookmarkEnd w:id="300"/>
      <w:bookmarkStart w:id="301" w:name="_Toc201582049"/>
      <w:bookmarkEnd w:id="301"/>
      <w:bookmarkStart w:id="302" w:name="_Toc201582426"/>
      <w:bookmarkEnd w:id="302"/>
      <w:bookmarkStart w:id="303" w:name="_Toc201593309"/>
      <w:bookmarkEnd w:id="303"/>
      <w:bookmarkStart w:id="304" w:name="_Toc201596845"/>
      <w:bookmarkEnd w:id="304"/>
      <w:bookmarkStart w:id="305" w:name="_Toc201597223"/>
      <w:bookmarkEnd w:id="305"/>
      <w:bookmarkStart w:id="306" w:name="_Toc201648049"/>
      <w:bookmarkEnd w:id="306"/>
      <w:bookmarkStart w:id="307" w:name="_Toc201649857"/>
      <w:bookmarkEnd w:id="307"/>
      <w:bookmarkStart w:id="308" w:name="_Toc201653549"/>
      <w:bookmarkEnd w:id="308"/>
      <w:bookmarkStart w:id="309" w:name="_Toc201676609"/>
      <w:bookmarkEnd w:id="309"/>
      <w:bookmarkStart w:id="310" w:name="_Toc201743317"/>
      <w:bookmarkEnd w:id="310"/>
      <w:bookmarkStart w:id="311" w:name="_Toc201743696"/>
      <w:bookmarkEnd w:id="311"/>
      <w:bookmarkStart w:id="312" w:name="_Toc201770046"/>
      <w:bookmarkEnd w:id="312"/>
      <w:bookmarkStart w:id="313" w:name="_Toc201770440"/>
      <w:bookmarkEnd w:id="313"/>
    </w:p>
    <w:p>
      <w:pPr>
        <w:pStyle w:val="28"/>
        <w:keepNext/>
        <w:keepLines/>
        <w:numPr>
          <w:ilvl w:val="1"/>
          <w:numId w:val="7"/>
        </w:numPr>
        <w:spacing w:line="300" w:lineRule="auto"/>
        <w:ind w:firstLineChars="0"/>
        <w:outlineLvl w:val="3"/>
        <w:rPr>
          <w:rFonts w:hint="eastAsia" w:ascii="宋体" w:hAnsi="宋体" w:eastAsia="宋体"/>
          <w:vanish/>
          <w:sz w:val="21"/>
          <w:szCs w:val="21"/>
        </w:rPr>
      </w:pPr>
      <w:bookmarkStart w:id="314" w:name="_Toc201163178"/>
      <w:bookmarkEnd w:id="314"/>
      <w:bookmarkStart w:id="315" w:name="_Toc201234027"/>
      <w:bookmarkEnd w:id="315"/>
      <w:bookmarkStart w:id="316" w:name="_Toc201260216"/>
      <w:bookmarkEnd w:id="316"/>
      <w:bookmarkStart w:id="317" w:name="_Toc201311838"/>
      <w:bookmarkEnd w:id="317"/>
      <w:bookmarkStart w:id="318" w:name="_Toc201410907"/>
      <w:bookmarkEnd w:id="318"/>
      <w:bookmarkStart w:id="319" w:name="_Toc201412030"/>
      <w:bookmarkEnd w:id="319"/>
      <w:bookmarkStart w:id="320" w:name="_Toc201412390"/>
      <w:bookmarkEnd w:id="320"/>
      <w:bookmarkStart w:id="321" w:name="_Toc201492458"/>
      <w:bookmarkEnd w:id="321"/>
      <w:bookmarkStart w:id="322" w:name="_Toc201496585"/>
      <w:bookmarkEnd w:id="322"/>
      <w:bookmarkStart w:id="323" w:name="_Toc201501847"/>
      <w:bookmarkEnd w:id="323"/>
      <w:bookmarkStart w:id="324" w:name="_Toc201502222"/>
      <w:bookmarkEnd w:id="324"/>
      <w:bookmarkStart w:id="325" w:name="_Toc201502600"/>
      <w:bookmarkEnd w:id="325"/>
      <w:bookmarkStart w:id="326" w:name="_Toc201502974"/>
      <w:bookmarkEnd w:id="326"/>
      <w:bookmarkStart w:id="327" w:name="_Toc201503349"/>
      <w:bookmarkEnd w:id="327"/>
      <w:bookmarkStart w:id="328" w:name="_Toc201503726"/>
      <w:bookmarkEnd w:id="328"/>
      <w:bookmarkStart w:id="329" w:name="_Toc201504102"/>
      <w:bookmarkEnd w:id="329"/>
      <w:bookmarkStart w:id="330" w:name="_Toc201504478"/>
      <w:bookmarkEnd w:id="330"/>
      <w:bookmarkStart w:id="331" w:name="_Toc201504853"/>
      <w:bookmarkEnd w:id="331"/>
      <w:bookmarkStart w:id="332" w:name="_Toc201505229"/>
      <w:bookmarkEnd w:id="332"/>
      <w:bookmarkStart w:id="333" w:name="_Toc201505605"/>
      <w:bookmarkEnd w:id="333"/>
      <w:bookmarkStart w:id="334" w:name="_Toc201505981"/>
      <w:bookmarkEnd w:id="334"/>
      <w:bookmarkStart w:id="335" w:name="_Toc201506355"/>
      <w:bookmarkEnd w:id="335"/>
      <w:bookmarkStart w:id="336" w:name="_Toc201506735"/>
      <w:bookmarkEnd w:id="336"/>
      <w:bookmarkStart w:id="337" w:name="_Toc201507109"/>
      <w:bookmarkEnd w:id="337"/>
      <w:bookmarkStart w:id="338" w:name="_Toc201507483"/>
      <w:bookmarkEnd w:id="338"/>
      <w:bookmarkStart w:id="339" w:name="_Toc201507858"/>
      <w:bookmarkEnd w:id="339"/>
      <w:bookmarkStart w:id="340" w:name="_Toc201508239"/>
      <w:bookmarkEnd w:id="340"/>
      <w:bookmarkStart w:id="341" w:name="_Toc201508617"/>
      <w:bookmarkEnd w:id="341"/>
      <w:bookmarkStart w:id="342" w:name="_Toc201574720"/>
      <w:bookmarkEnd w:id="342"/>
      <w:bookmarkStart w:id="343" w:name="_Toc201575100"/>
      <w:bookmarkEnd w:id="343"/>
      <w:bookmarkStart w:id="344" w:name="_Toc201581669"/>
      <w:bookmarkEnd w:id="344"/>
      <w:bookmarkStart w:id="345" w:name="_Toc201582050"/>
      <w:bookmarkEnd w:id="345"/>
      <w:bookmarkStart w:id="346" w:name="_Toc201582427"/>
      <w:bookmarkEnd w:id="346"/>
      <w:bookmarkStart w:id="347" w:name="_Toc201593310"/>
      <w:bookmarkEnd w:id="347"/>
      <w:bookmarkStart w:id="348" w:name="_Toc201596846"/>
      <w:bookmarkEnd w:id="348"/>
      <w:bookmarkStart w:id="349" w:name="_Toc201597224"/>
      <w:bookmarkEnd w:id="349"/>
      <w:bookmarkStart w:id="350" w:name="_Toc201648050"/>
      <w:bookmarkEnd w:id="350"/>
      <w:bookmarkStart w:id="351" w:name="_Toc201649858"/>
      <w:bookmarkEnd w:id="351"/>
      <w:bookmarkStart w:id="352" w:name="_Toc201653550"/>
      <w:bookmarkEnd w:id="352"/>
      <w:bookmarkStart w:id="353" w:name="_Toc201676610"/>
      <w:bookmarkEnd w:id="353"/>
      <w:bookmarkStart w:id="354" w:name="_Toc201743318"/>
      <w:bookmarkEnd w:id="354"/>
      <w:bookmarkStart w:id="355" w:name="_Toc201743697"/>
      <w:bookmarkEnd w:id="355"/>
      <w:bookmarkStart w:id="356" w:name="_Toc201770047"/>
      <w:bookmarkEnd w:id="356"/>
      <w:bookmarkStart w:id="357" w:name="_Toc201770441"/>
      <w:bookmarkEnd w:id="357"/>
    </w:p>
    <w:p>
      <w:pPr>
        <w:pStyle w:val="28"/>
        <w:keepNext/>
        <w:keepLines/>
        <w:numPr>
          <w:ilvl w:val="1"/>
          <w:numId w:val="7"/>
        </w:numPr>
        <w:spacing w:line="300" w:lineRule="auto"/>
        <w:ind w:firstLineChars="0"/>
        <w:outlineLvl w:val="3"/>
        <w:rPr>
          <w:rFonts w:hint="eastAsia" w:ascii="宋体" w:hAnsi="宋体" w:eastAsia="宋体"/>
          <w:vanish/>
          <w:sz w:val="21"/>
          <w:szCs w:val="21"/>
        </w:rPr>
      </w:pPr>
      <w:bookmarkStart w:id="358" w:name="_Toc201507110"/>
      <w:bookmarkEnd w:id="358"/>
      <w:bookmarkStart w:id="359" w:name="_Toc201163179"/>
      <w:bookmarkEnd w:id="359"/>
      <w:bookmarkStart w:id="360" w:name="_Toc201234028"/>
      <w:bookmarkEnd w:id="360"/>
      <w:bookmarkStart w:id="361" w:name="_Toc201260217"/>
      <w:bookmarkEnd w:id="361"/>
      <w:bookmarkStart w:id="362" w:name="_Toc201311839"/>
      <w:bookmarkEnd w:id="362"/>
      <w:bookmarkStart w:id="363" w:name="_Toc201410908"/>
      <w:bookmarkEnd w:id="363"/>
      <w:bookmarkStart w:id="364" w:name="_Toc201412031"/>
      <w:bookmarkEnd w:id="364"/>
      <w:bookmarkStart w:id="365" w:name="_Toc201412391"/>
      <w:bookmarkEnd w:id="365"/>
      <w:bookmarkStart w:id="366" w:name="_Toc201492459"/>
      <w:bookmarkEnd w:id="366"/>
      <w:bookmarkStart w:id="367" w:name="_Toc201496586"/>
      <w:bookmarkEnd w:id="367"/>
      <w:bookmarkStart w:id="368" w:name="_Toc201501848"/>
      <w:bookmarkEnd w:id="368"/>
      <w:bookmarkStart w:id="369" w:name="_Toc201502223"/>
      <w:bookmarkEnd w:id="369"/>
      <w:bookmarkStart w:id="370" w:name="_Toc201502601"/>
      <w:bookmarkEnd w:id="370"/>
      <w:bookmarkStart w:id="371" w:name="_Toc201502975"/>
      <w:bookmarkEnd w:id="371"/>
      <w:bookmarkStart w:id="372" w:name="_Toc201503350"/>
      <w:bookmarkEnd w:id="372"/>
      <w:bookmarkStart w:id="373" w:name="_Toc201503727"/>
      <w:bookmarkEnd w:id="373"/>
      <w:bookmarkStart w:id="374" w:name="_Toc201504103"/>
      <w:bookmarkEnd w:id="374"/>
      <w:bookmarkStart w:id="375" w:name="_Toc201504479"/>
      <w:bookmarkEnd w:id="375"/>
      <w:bookmarkStart w:id="376" w:name="_Toc201504854"/>
      <w:bookmarkEnd w:id="376"/>
      <w:bookmarkStart w:id="377" w:name="_Toc201505230"/>
      <w:bookmarkEnd w:id="377"/>
      <w:bookmarkStart w:id="378" w:name="_Toc201505606"/>
      <w:bookmarkEnd w:id="378"/>
      <w:bookmarkStart w:id="379" w:name="_Toc201505982"/>
      <w:bookmarkEnd w:id="379"/>
      <w:bookmarkStart w:id="380" w:name="_Toc201506356"/>
      <w:bookmarkEnd w:id="380"/>
      <w:bookmarkStart w:id="381" w:name="_Toc201506736"/>
      <w:bookmarkEnd w:id="381"/>
      <w:bookmarkStart w:id="382" w:name="_Toc201507484"/>
      <w:bookmarkEnd w:id="382"/>
      <w:bookmarkStart w:id="383" w:name="_Toc201507859"/>
      <w:bookmarkEnd w:id="383"/>
      <w:bookmarkStart w:id="384" w:name="_Toc201508240"/>
      <w:bookmarkEnd w:id="384"/>
      <w:bookmarkStart w:id="385" w:name="_Toc201508618"/>
      <w:bookmarkEnd w:id="385"/>
      <w:bookmarkStart w:id="386" w:name="_Toc201574721"/>
      <w:bookmarkEnd w:id="386"/>
      <w:bookmarkStart w:id="387" w:name="_Toc201575101"/>
      <w:bookmarkEnd w:id="387"/>
      <w:bookmarkStart w:id="388" w:name="_Toc201581670"/>
      <w:bookmarkEnd w:id="388"/>
      <w:bookmarkStart w:id="389" w:name="_Toc201582051"/>
      <w:bookmarkEnd w:id="389"/>
      <w:bookmarkStart w:id="390" w:name="_Toc201582428"/>
      <w:bookmarkEnd w:id="390"/>
      <w:bookmarkStart w:id="391" w:name="_Toc201593311"/>
      <w:bookmarkEnd w:id="391"/>
      <w:bookmarkStart w:id="392" w:name="_Toc201596847"/>
      <w:bookmarkEnd w:id="392"/>
      <w:bookmarkStart w:id="393" w:name="_Toc201597225"/>
      <w:bookmarkEnd w:id="393"/>
      <w:bookmarkStart w:id="394" w:name="_Toc201648051"/>
      <w:bookmarkEnd w:id="394"/>
      <w:bookmarkStart w:id="395" w:name="_Toc201649859"/>
      <w:bookmarkEnd w:id="395"/>
      <w:bookmarkStart w:id="396" w:name="_Toc201653551"/>
      <w:bookmarkEnd w:id="396"/>
      <w:bookmarkStart w:id="397" w:name="_Toc201676611"/>
      <w:bookmarkEnd w:id="397"/>
      <w:bookmarkStart w:id="398" w:name="_Toc201743319"/>
      <w:bookmarkEnd w:id="398"/>
      <w:bookmarkStart w:id="399" w:name="_Toc201743698"/>
      <w:bookmarkEnd w:id="399"/>
      <w:bookmarkStart w:id="400" w:name="_Toc201770048"/>
      <w:bookmarkEnd w:id="400"/>
      <w:bookmarkStart w:id="401" w:name="_Toc201770442"/>
      <w:bookmarkEnd w:id="401"/>
    </w:p>
    <w:tbl>
      <w:tblPr>
        <w:tblStyle w:val="17"/>
        <w:tblW w:w="88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4"/>
        <w:gridCol w:w="2107"/>
        <w:gridCol w:w="49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4" w:type="dxa"/>
            <w:shd w:val="pct5" w:color="auto" w:fill="auto"/>
          </w:tcPr>
          <w:p>
            <w:pPr>
              <w:spacing w:line="300" w:lineRule="auto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主模块</w:t>
            </w:r>
          </w:p>
        </w:tc>
        <w:tc>
          <w:tcPr>
            <w:tcW w:w="2107" w:type="dxa"/>
            <w:shd w:val="pct5" w:color="auto" w:fill="auto"/>
          </w:tcPr>
          <w:p>
            <w:pPr>
              <w:spacing w:line="300" w:lineRule="auto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功能</w:t>
            </w:r>
          </w:p>
        </w:tc>
        <w:tc>
          <w:tcPr>
            <w:tcW w:w="4987" w:type="dxa"/>
            <w:shd w:val="pct5" w:color="auto" w:fill="auto"/>
          </w:tcPr>
          <w:p>
            <w:pPr>
              <w:spacing w:line="300" w:lineRule="auto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功能说明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4" w:type="dxa"/>
            <w:vMerge w:val="restart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体检中心</w:t>
            </w:r>
          </w:p>
        </w:tc>
        <w:tc>
          <w:tcPr>
            <w:tcW w:w="2107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体检登记</w:t>
            </w:r>
          </w:p>
        </w:tc>
        <w:tc>
          <w:tcPr>
            <w:tcW w:w="4987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遗漏登记或特殊情况学生，可在APP中进行登记。支持现场打印体检条码。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4" w:type="dxa"/>
            <w:vMerge w:val="continue"/>
            <w:vAlign w:val="center"/>
          </w:tcPr>
          <w:p>
            <w:pPr>
              <w:spacing w:line="300" w:lineRule="auto"/>
              <w:ind w:firstLine="48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107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漏检分析</w:t>
            </w:r>
          </w:p>
        </w:tc>
        <w:tc>
          <w:tcPr>
            <w:tcW w:w="4987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依据年度、学期、学校进行漏检分析。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4" w:type="dxa"/>
            <w:vMerge w:val="continue"/>
            <w:vAlign w:val="center"/>
          </w:tcPr>
          <w:p>
            <w:pPr>
              <w:spacing w:line="300" w:lineRule="auto"/>
              <w:ind w:firstLine="48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107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体检核查</w:t>
            </w:r>
          </w:p>
        </w:tc>
        <w:tc>
          <w:tcPr>
            <w:tcW w:w="4987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通过“扫码”快速核查学生的体检情况。核查结果分项展示输出，可快速筛查当前学生的未检/漏检科目。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4" w:type="dxa"/>
            <w:vMerge w:val="continue"/>
            <w:vAlign w:val="center"/>
          </w:tcPr>
          <w:p>
            <w:pPr>
              <w:spacing w:line="300" w:lineRule="auto"/>
              <w:ind w:firstLine="48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107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体检工作</w:t>
            </w:r>
          </w:p>
        </w:tc>
        <w:tc>
          <w:tcPr>
            <w:tcW w:w="4987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支持十六个科目或自主定义科目的学生健康体检工作。扫码后可直接进行体检信息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快速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录入，数据提交过程可依据三类校验机制（逻辑输入、复查标准、上次体检结果）进行验证，并给予显著提示。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4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学生信息</w:t>
            </w:r>
          </w:p>
        </w:tc>
        <w:tc>
          <w:tcPr>
            <w:tcW w:w="7094" w:type="dxa"/>
            <w:gridSpan w:val="2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依据年度、学期、学校、年级、班级或学生姓名形式的体检信息数据列表展示。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4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体检设备</w:t>
            </w:r>
          </w:p>
        </w:tc>
        <w:tc>
          <w:tcPr>
            <w:tcW w:w="7094" w:type="dxa"/>
            <w:gridSpan w:val="2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支持身高体重仪、血压计、视力表、验光仪、电子软尺、肺活量仪、打印机的连接与通讯。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4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个人中心</w:t>
            </w:r>
          </w:p>
        </w:tc>
        <w:tc>
          <w:tcPr>
            <w:tcW w:w="7094" w:type="dxa"/>
            <w:gridSpan w:val="2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具有个人信息、密码修改、便捷配置、登录日志、软件更新。</w:t>
            </w:r>
          </w:p>
        </w:tc>
      </w:tr>
    </w:tbl>
    <w:p>
      <w:pPr>
        <w:widowControl/>
        <w:jc w:val="left"/>
        <w:rPr>
          <w:rFonts w:hint="eastAsia"/>
          <w:sz w:val="21"/>
          <w:szCs w:val="21"/>
        </w:rPr>
      </w:pPr>
      <w:bookmarkStart w:id="402" w:name="_Toc201770445"/>
    </w:p>
    <w:bookmarkEnd w:id="402"/>
    <w:p>
      <w:pPr>
        <w:pStyle w:val="28"/>
        <w:numPr>
          <w:ilvl w:val="0"/>
          <w:numId w:val="0"/>
        </w:numPr>
        <w:spacing w:line="300" w:lineRule="auto"/>
        <w:ind w:leftChars="0"/>
        <w:rPr>
          <w:rFonts w:hint="eastAsia" w:ascii="宋体" w:hAnsi="宋体" w:eastAsia="宋体"/>
          <w:b/>
          <w:bCs/>
          <w:sz w:val="21"/>
          <w:szCs w:val="21"/>
        </w:rPr>
      </w:pPr>
      <w:r>
        <w:rPr>
          <w:rFonts w:ascii="宋体" w:hAnsi="宋体" w:cs="Arial"/>
          <w:szCs w:val="21"/>
        </w:rPr>
        <w:t>▲</w:t>
      </w:r>
      <w:r>
        <w:rPr>
          <w:rFonts w:hint="eastAsia" w:ascii="宋体" w:hAnsi="宋体" w:eastAsia="宋体"/>
          <w:b/>
          <w:bCs/>
          <w:sz w:val="21"/>
          <w:szCs w:val="21"/>
          <w:lang w:val="en-US" w:eastAsia="zh-CN"/>
        </w:rPr>
        <w:t>3.提供</w:t>
      </w:r>
      <w:r>
        <w:rPr>
          <w:rFonts w:hint="eastAsia" w:ascii="宋体" w:hAnsi="宋体" w:eastAsia="宋体"/>
          <w:b/>
          <w:bCs/>
          <w:sz w:val="21"/>
          <w:szCs w:val="21"/>
        </w:rPr>
        <w:t>学生健康体检回执系统</w:t>
      </w:r>
    </w:p>
    <w:p>
      <w:pPr>
        <w:pStyle w:val="28"/>
        <w:keepNext/>
        <w:keepLines/>
        <w:numPr>
          <w:ilvl w:val="0"/>
          <w:numId w:val="8"/>
        </w:numPr>
        <w:spacing w:line="300" w:lineRule="auto"/>
        <w:ind w:firstLineChars="0"/>
        <w:outlineLvl w:val="3"/>
        <w:rPr>
          <w:rFonts w:hint="eastAsia" w:ascii="宋体" w:hAnsi="宋体" w:eastAsia="宋体"/>
          <w:vanish/>
          <w:sz w:val="21"/>
          <w:szCs w:val="21"/>
        </w:rPr>
      </w:pPr>
      <w:bookmarkStart w:id="403" w:name="_Toc201593315"/>
      <w:bookmarkEnd w:id="403"/>
      <w:bookmarkStart w:id="404" w:name="_Toc201582432"/>
      <w:bookmarkEnd w:id="404"/>
      <w:bookmarkStart w:id="405" w:name="_Toc201582055"/>
      <w:bookmarkEnd w:id="405"/>
      <w:bookmarkStart w:id="406" w:name="_Toc201508622"/>
      <w:bookmarkEnd w:id="406"/>
      <w:bookmarkStart w:id="407" w:name="_Toc201505610"/>
      <w:bookmarkEnd w:id="407"/>
      <w:bookmarkStart w:id="408" w:name="_Toc201505234"/>
      <w:bookmarkEnd w:id="408"/>
      <w:bookmarkStart w:id="409" w:name="_Toc201508244"/>
      <w:bookmarkEnd w:id="409"/>
      <w:bookmarkStart w:id="410" w:name="_Toc201581674"/>
      <w:bookmarkEnd w:id="410"/>
      <w:bookmarkStart w:id="411" w:name="_Toc201575105"/>
      <w:bookmarkEnd w:id="411"/>
      <w:bookmarkStart w:id="412" w:name="_Toc201574725"/>
      <w:bookmarkEnd w:id="412"/>
      <w:bookmarkStart w:id="413" w:name="_Toc201507863"/>
      <w:bookmarkEnd w:id="413"/>
      <w:bookmarkStart w:id="414" w:name="_Toc201507488"/>
      <w:bookmarkEnd w:id="414"/>
      <w:bookmarkStart w:id="415" w:name="_Toc201507114"/>
      <w:bookmarkEnd w:id="415"/>
      <w:bookmarkStart w:id="416" w:name="_Toc201506740"/>
      <w:bookmarkEnd w:id="416"/>
      <w:bookmarkStart w:id="417" w:name="_Toc201506360"/>
      <w:bookmarkEnd w:id="417"/>
      <w:bookmarkStart w:id="418" w:name="_Toc201505986"/>
      <w:bookmarkEnd w:id="418"/>
      <w:bookmarkStart w:id="419" w:name="_Toc201504858"/>
      <w:bookmarkEnd w:id="419"/>
      <w:bookmarkStart w:id="420" w:name="_Toc201163183"/>
      <w:bookmarkEnd w:id="420"/>
      <w:bookmarkStart w:id="421" w:name="_Toc201234032"/>
      <w:bookmarkEnd w:id="421"/>
      <w:bookmarkStart w:id="422" w:name="_Toc201260221"/>
      <w:bookmarkEnd w:id="422"/>
      <w:bookmarkStart w:id="423" w:name="_Toc201311843"/>
      <w:bookmarkEnd w:id="423"/>
      <w:bookmarkStart w:id="424" w:name="_Toc201410912"/>
      <w:bookmarkEnd w:id="424"/>
      <w:bookmarkStart w:id="425" w:name="_Toc201412035"/>
      <w:bookmarkEnd w:id="425"/>
      <w:bookmarkStart w:id="426" w:name="_Toc201412395"/>
      <w:bookmarkEnd w:id="426"/>
      <w:bookmarkStart w:id="427" w:name="_Toc201492463"/>
      <w:bookmarkEnd w:id="427"/>
      <w:bookmarkStart w:id="428" w:name="_Toc201496590"/>
      <w:bookmarkEnd w:id="428"/>
      <w:bookmarkStart w:id="429" w:name="_Toc201501852"/>
      <w:bookmarkEnd w:id="429"/>
      <w:bookmarkStart w:id="430" w:name="_Toc201502227"/>
      <w:bookmarkEnd w:id="430"/>
      <w:bookmarkStart w:id="431" w:name="_Toc201502605"/>
      <w:bookmarkEnd w:id="431"/>
      <w:bookmarkStart w:id="432" w:name="_Toc201502979"/>
      <w:bookmarkEnd w:id="432"/>
      <w:bookmarkStart w:id="433" w:name="_Toc201503354"/>
      <w:bookmarkEnd w:id="433"/>
      <w:bookmarkStart w:id="434" w:name="_Toc201503731"/>
      <w:bookmarkEnd w:id="434"/>
      <w:bookmarkStart w:id="435" w:name="_Toc201504107"/>
      <w:bookmarkEnd w:id="435"/>
      <w:bookmarkStart w:id="436" w:name="_Toc201504483"/>
      <w:bookmarkEnd w:id="436"/>
      <w:bookmarkStart w:id="437" w:name="_Toc201596851"/>
      <w:bookmarkEnd w:id="437"/>
      <w:bookmarkStart w:id="438" w:name="_Toc201597229"/>
      <w:bookmarkEnd w:id="438"/>
      <w:bookmarkStart w:id="439" w:name="_Toc201648055"/>
      <w:bookmarkEnd w:id="439"/>
      <w:bookmarkStart w:id="440" w:name="_Toc201649863"/>
      <w:bookmarkEnd w:id="440"/>
      <w:bookmarkStart w:id="441" w:name="_Toc201653555"/>
      <w:bookmarkEnd w:id="441"/>
      <w:bookmarkStart w:id="442" w:name="_Toc201676615"/>
      <w:bookmarkEnd w:id="442"/>
      <w:bookmarkStart w:id="443" w:name="_Toc201743323"/>
      <w:bookmarkEnd w:id="443"/>
      <w:bookmarkStart w:id="444" w:name="_Toc201743702"/>
      <w:bookmarkEnd w:id="444"/>
      <w:bookmarkStart w:id="445" w:name="_Toc201770052"/>
      <w:bookmarkEnd w:id="445"/>
      <w:bookmarkStart w:id="446" w:name="_Toc201770446"/>
      <w:bookmarkEnd w:id="446"/>
    </w:p>
    <w:p>
      <w:pPr>
        <w:pStyle w:val="28"/>
        <w:keepNext/>
        <w:keepLines/>
        <w:numPr>
          <w:ilvl w:val="0"/>
          <w:numId w:val="8"/>
        </w:numPr>
        <w:spacing w:line="300" w:lineRule="auto"/>
        <w:ind w:firstLineChars="0"/>
        <w:outlineLvl w:val="3"/>
        <w:rPr>
          <w:rFonts w:hint="eastAsia" w:ascii="宋体" w:hAnsi="宋体" w:eastAsia="宋体"/>
          <w:vanish/>
          <w:sz w:val="21"/>
          <w:szCs w:val="21"/>
        </w:rPr>
      </w:pPr>
      <w:bookmarkStart w:id="447" w:name="_Toc201163184"/>
      <w:bookmarkEnd w:id="447"/>
      <w:bookmarkStart w:id="448" w:name="_Toc201234033"/>
      <w:bookmarkEnd w:id="448"/>
      <w:bookmarkStart w:id="449" w:name="_Toc201260222"/>
      <w:bookmarkEnd w:id="449"/>
      <w:bookmarkStart w:id="450" w:name="_Toc201311844"/>
      <w:bookmarkEnd w:id="450"/>
      <w:bookmarkStart w:id="451" w:name="_Toc201410913"/>
      <w:bookmarkEnd w:id="451"/>
      <w:bookmarkStart w:id="452" w:name="_Toc201412036"/>
      <w:bookmarkEnd w:id="452"/>
      <w:bookmarkStart w:id="453" w:name="_Toc201412396"/>
      <w:bookmarkEnd w:id="453"/>
      <w:bookmarkStart w:id="454" w:name="_Toc201492464"/>
      <w:bookmarkEnd w:id="454"/>
      <w:bookmarkStart w:id="455" w:name="_Toc201496591"/>
      <w:bookmarkEnd w:id="455"/>
      <w:bookmarkStart w:id="456" w:name="_Toc201501853"/>
      <w:bookmarkEnd w:id="456"/>
      <w:bookmarkStart w:id="457" w:name="_Toc201502228"/>
      <w:bookmarkEnd w:id="457"/>
      <w:bookmarkStart w:id="458" w:name="_Toc201502606"/>
      <w:bookmarkEnd w:id="458"/>
      <w:bookmarkStart w:id="459" w:name="_Toc201502980"/>
      <w:bookmarkEnd w:id="459"/>
      <w:bookmarkStart w:id="460" w:name="_Toc201503355"/>
      <w:bookmarkEnd w:id="460"/>
      <w:bookmarkStart w:id="461" w:name="_Toc201503732"/>
      <w:bookmarkEnd w:id="461"/>
      <w:bookmarkStart w:id="462" w:name="_Toc201504108"/>
      <w:bookmarkEnd w:id="462"/>
      <w:bookmarkStart w:id="463" w:name="_Toc201504484"/>
      <w:bookmarkEnd w:id="463"/>
      <w:bookmarkStart w:id="464" w:name="_Toc201504859"/>
      <w:bookmarkEnd w:id="464"/>
      <w:bookmarkStart w:id="465" w:name="_Toc201505235"/>
      <w:bookmarkEnd w:id="465"/>
      <w:bookmarkStart w:id="466" w:name="_Toc201505611"/>
      <w:bookmarkEnd w:id="466"/>
      <w:bookmarkStart w:id="467" w:name="_Toc201505987"/>
      <w:bookmarkEnd w:id="467"/>
      <w:bookmarkStart w:id="468" w:name="_Toc201506361"/>
      <w:bookmarkEnd w:id="468"/>
      <w:bookmarkStart w:id="469" w:name="_Toc201506741"/>
      <w:bookmarkEnd w:id="469"/>
      <w:bookmarkStart w:id="470" w:name="_Toc201507115"/>
      <w:bookmarkEnd w:id="470"/>
      <w:bookmarkStart w:id="471" w:name="_Toc201507489"/>
      <w:bookmarkEnd w:id="471"/>
      <w:bookmarkStart w:id="472" w:name="_Toc201507864"/>
      <w:bookmarkEnd w:id="472"/>
      <w:bookmarkStart w:id="473" w:name="_Toc201508245"/>
      <w:bookmarkEnd w:id="473"/>
      <w:bookmarkStart w:id="474" w:name="_Toc201508623"/>
      <w:bookmarkEnd w:id="474"/>
      <w:bookmarkStart w:id="475" w:name="_Toc201574726"/>
      <w:bookmarkEnd w:id="475"/>
      <w:bookmarkStart w:id="476" w:name="_Toc201575106"/>
      <w:bookmarkEnd w:id="476"/>
      <w:bookmarkStart w:id="477" w:name="_Toc201581675"/>
      <w:bookmarkEnd w:id="477"/>
      <w:bookmarkStart w:id="478" w:name="_Toc201582056"/>
      <w:bookmarkEnd w:id="478"/>
      <w:bookmarkStart w:id="479" w:name="_Toc201582433"/>
      <w:bookmarkEnd w:id="479"/>
      <w:bookmarkStart w:id="480" w:name="_Toc201593316"/>
      <w:bookmarkEnd w:id="480"/>
      <w:bookmarkStart w:id="481" w:name="_Toc201596852"/>
      <w:bookmarkEnd w:id="481"/>
      <w:bookmarkStart w:id="482" w:name="_Toc201597230"/>
      <w:bookmarkEnd w:id="482"/>
      <w:bookmarkStart w:id="483" w:name="_Toc201648056"/>
      <w:bookmarkEnd w:id="483"/>
      <w:bookmarkStart w:id="484" w:name="_Toc201649864"/>
      <w:bookmarkEnd w:id="484"/>
      <w:bookmarkStart w:id="485" w:name="_Toc201653556"/>
      <w:bookmarkEnd w:id="485"/>
      <w:bookmarkStart w:id="486" w:name="_Toc201676616"/>
      <w:bookmarkEnd w:id="486"/>
      <w:bookmarkStart w:id="487" w:name="_Toc201743324"/>
      <w:bookmarkEnd w:id="487"/>
      <w:bookmarkStart w:id="488" w:name="_Toc201743703"/>
      <w:bookmarkEnd w:id="488"/>
      <w:bookmarkStart w:id="489" w:name="_Toc201770053"/>
      <w:bookmarkEnd w:id="489"/>
      <w:bookmarkStart w:id="490" w:name="_Toc201770447"/>
      <w:bookmarkEnd w:id="490"/>
    </w:p>
    <w:p>
      <w:pPr>
        <w:pStyle w:val="28"/>
        <w:keepNext/>
        <w:keepLines/>
        <w:numPr>
          <w:ilvl w:val="0"/>
          <w:numId w:val="8"/>
        </w:numPr>
        <w:spacing w:line="300" w:lineRule="auto"/>
        <w:ind w:firstLineChars="0"/>
        <w:outlineLvl w:val="3"/>
        <w:rPr>
          <w:rFonts w:hint="eastAsia" w:ascii="宋体" w:hAnsi="宋体" w:eastAsia="宋体"/>
          <w:vanish/>
          <w:sz w:val="21"/>
          <w:szCs w:val="21"/>
        </w:rPr>
      </w:pPr>
      <w:bookmarkStart w:id="491" w:name="_Toc201163185"/>
      <w:bookmarkEnd w:id="491"/>
      <w:bookmarkStart w:id="492" w:name="_Toc201234034"/>
      <w:bookmarkEnd w:id="492"/>
      <w:bookmarkStart w:id="493" w:name="_Toc201260223"/>
      <w:bookmarkEnd w:id="493"/>
      <w:bookmarkStart w:id="494" w:name="_Toc201311845"/>
      <w:bookmarkEnd w:id="494"/>
      <w:bookmarkStart w:id="495" w:name="_Toc201410914"/>
      <w:bookmarkEnd w:id="495"/>
      <w:bookmarkStart w:id="496" w:name="_Toc201412037"/>
      <w:bookmarkEnd w:id="496"/>
      <w:bookmarkStart w:id="497" w:name="_Toc201412397"/>
      <w:bookmarkEnd w:id="497"/>
      <w:bookmarkStart w:id="498" w:name="_Toc201492465"/>
      <w:bookmarkEnd w:id="498"/>
      <w:bookmarkStart w:id="499" w:name="_Toc201496592"/>
      <w:bookmarkEnd w:id="499"/>
      <w:bookmarkStart w:id="500" w:name="_Toc201501854"/>
      <w:bookmarkEnd w:id="500"/>
      <w:bookmarkStart w:id="501" w:name="_Toc201502229"/>
      <w:bookmarkEnd w:id="501"/>
      <w:bookmarkStart w:id="502" w:name="_Toc201502607"/>
      <w:bookmarkEnd w:id="502"/>
      <w:bookmarkStart w:id="503" w:name="_Toc201502981"/>
      <w:bookmarkEnd w:id="503"/>
      <w:bookmarkStart w:id="504" w:name="_Toc201503356"/>
      <w:bookmarkEnd w:id="504"/>
      <w:bookmarkStart w:id="505" w:name="_Toc201503733"/>
      <w:bookmarkEnd w:id="505"/>
      <w:bookmarkStart w:id="506" w:name="_Toc201504109"/>
      <w:bookmarkEnd w:id="506"/>
      <w:bookmarkStart w:id="507" w:name="_Toc201504485"/>
      <w:bookmarkEnd w:id="507"/>
      <w:bookmarkStart w:id="508" w:name="_Toc201504860"/>
      <w:bookmarkEnd w:id="508"/>
      <w:bookmarkStart w:id="509" w:name="_Toc201505236"/>
      <w:bookmarkEnd w:id="509"/>
      <w:bookmarkStart w:id="510" w:name="_Toc201505612"/>
      <w:bookmarkEnd w:id="510"/>
      <w:bookmarkStart w:id="511" w:name="_Toc201505988"/>
      <w:bookmarkEnd w:id="511"/>
      <w:bookmarkStart w:id="512" w:name="_Toc201506362"/>
      <w:bookmarkEnd w:id="512"/>
      <w:bookmarkStart w:id="513" w:name="_Toc201506742"/>
      <w:bookmarkEnd w:id="513"/>
      <w:bookmarkStart w:id="514" w:name="_Toc201507116"/>
      <w:bookmarkEnd w:id="514"/>
      <w:bookmarkStart w:id="515" w:name="_Toc201507490"/>
      <w:bookmarkEnd w:id="515"/>
      <w:bookmarkStart w:id="516" w:name="_Toc201507865"/>
      <w:bookmarkEnd w:id="516"/>
      <w:bookmarkStart w:id="517" w:name="_Toc201508246"/>
      <w:bookmarkEnd w:id="517"/>
      <w:bookmarkStart w:id="518" w:name="_Toc201508624"/>
      <w:bookmarkEnd w:id="518"/>
      <w:bookmarkStart w:id="519" w:name="_Toc201574727"/>
      <w:bookmarkEnd w:id="519"/>
      <w:bookmarkStart w:id="520" w:name="_Toc201575107"/>
      <w:bookmarkEnd w:id="520"/>
      <w:bookmarkStart w:id="521" w:name="_Toc201581676"/>
      <w:bookmarkEnd w:id="521"/>
      <w:bookmarkStart w:id="522" w:name="_Toc201582057"/>
      <w:bookmarkEnd w:id="522"/>
      <w:bookmarkStart w:id="523" w:name="_Toc201582434"/>
      <w:bookmarkEnd w:id="523"/>
      <w:bookmarkStart w:id="524" w:name="_Toc201593317"/>
      <w:bookmarkEnd w:id="524"/>
      <w:bookmarkStart w:id="525" w:name="_Toc201596853"/>
      <w:bookmarkEnd w:id="525"/>
      <w:bookmarkStart w:id="526" w:name="_Toc201597231"/>
      <w:bookmarkEnd w:id="526"/>
      <w:bookmarkStart w:id="527" w:name="_Toc201648057"/>
      <w:bookmarkEnd w:id="527"/>
      <w:bookmarkStart w:id="528" w:name="_Toc201649865"/>
      <w:bookmarkEnd w:id="528"/>
      <w:bookmarkStart w:id="529" w:name="_Toc201653557"/>
      <w:bookmarkEnd w:id="529"/>
      <w:bookmarkStart w:id="530" w:name="_Toc201676617"/>
      <w:bookmarkEnd w:id="530"/>
      <w:bookmarkStart w:id="531" w:name="_Toc201743325"/>
      <w:bookmarkEnd w:id="531"/>
      <w:bookmarkStart w:id="532" w:name="_Toc201743704"/>
      <w:bookmarkEnd w:id="532"/>
      <w:bookmarkStart w:id="533" w:name="_Toc201770054"/>
      <w:bookmarkEnd w:id="533"/>
      <w:bookmarkStart w:id="534" w:name="_Toc201770448"/>
      <w:bookmarkEnd w:id="534"/>
    </w:p>
    <w:p>
      <w:pPr>
        <w:pStyle w:val="28"/>
        <w:keepNext/>
        <w:keepLines/>
        <w:numPr>
          <w:ilvl w:val="0"/>
          <w:numId w:val="8"/>
        </w:numPr>
        <w:spacing w:line="300" w:lineRule="auto"/>
        <w:ind w:firstLineChars="0"/>
        <w:outlineLvl w:val="3"/>
        <w:rPr>
          <w:rFonts w:hint="eastAsia" w:ascii="宋体" w:hAnsi="宋体" w:eastAsia="宋体"/>
          <w:vanish/>
          <w:sz w:val="21"/>
          <w:szCs w:val="21"/>
        </w:rPr>
      </w:pPr>
      <w:bookmarkStart w:id="535" w:name="_Toc201163186"/>
      <w:bookmarkEnd w:id="535"/>
      <w:bookmarkStart w:id="536" w:name="_Toc201234035"/>
      <w:bookmarkEnd w:id="536"/>
      <w:bookmarkStart w:id="537" w:name="_Toc201260224"/>
      <w:bookmarkEnd w:id="537"/>
      <w:bookmarkStart w:id="538" w:name="_Toc201311846"/>
      <w:bookmarkEnd w:id="538"/>
      <w:bookmarkStart w:id="539" w:name="_Toc201410915"/>
      <w:bookmarkEnd w:id="539"/>
      <w:bookmarkStart w:id="540" w:name="_Toc201412038"/>
      <w:bookmarkEnd w:id="540"/>
      <w:bookmarkStart w:id="541" w:name="_Toc201412398"/>
      <w:bookmarkEnd w:id="541"/>
      <w:bookmarkStart w:id="542" w:name="_Toc201492466"/>
      <w:bookmarkEnd w:id="542"/>
      <w:bookmarkStart w:id="543" w:name="_Toc201496593"/>
      <w:bookmarkEnd w:id="543"/>
      <w:bookmarkStart w:id="544" w:name="_Toc201501855"/>
      <w:bookmarkEnd w:id="544"/>
      <w:bookmarkStart w:id="545" w:name="_Toc201502230"/>
      <w:bookmarkEnd w:id="545"/>
      <w:bookmarkStart w:id="546" w:name="_Toc201502608"/>
      <w:bookmarkEnd w:id="546"/>
      <w:bookmarkStart w:id="547" w:name="_Toc201502982"/>
      <w:bookmarkEnd w:id="547"/>
      <w:bookmarkStart w:id="548" w:name="_Toc201503357"/>
      <w:bookmarkEnd w:id="548"/>
      <w:bookmarkStart w:id="549" w:name="_Toc201503734"/>
      <w:bookmarkEnd w:id="549"/>
      <w:bookmarkStart w:id="550" w:name="_Toc201504110"/>
      <w:bookmarkEnd w:id="550"/>
      <w:bookmarkStart w:id="551" w:name="_Toc201504486"/>
      <w:bookmarkEnd w:id="551"/>
      <w:bookmarkStart w:id="552" w:name="_Toc201504861"/>
      <w:bookmarkEnd w:id="552"/>
      <w:bookmarkStart w:id="553" w:name="_Toc201505237"/>
      <w:bookmarkEnd w:id="553"/>
      <w:bookmarkStart w:id="554" w:name="_Toc201505613"/>
      <w:bookmarkEnd w:id="554"/>
      <w:bookmarkStart w:id="555" w:name="_Toc201505989"/>
      <w:bookmarkEnd w:id="555"/>
      <w:bookmarkStart w:id="556" w:name="_Toc201506363"/>
      <w:bookmarkEnd w:id="556"/>
      <w:bookmarkStart w:id="557" w:name="_Toc201506743"/>
      <w:bookmarkEnd w:id="557"/>
      <w:bookmarkStart w:id="558" w:name="_Toc201507117"/>
      <w:bookmarkEnd w:id="558"/>
      <w:bookmarkStart w:id="559" w:name="_Toc201507491"/>
      <w:bookmarkEnd w:id="559"/>
      <w:bookmarkStart w:id="560" w:name="_Toc201507866"/>
      <w:bookmarkEnd w:id="560"/>
      <w:bookmarkStart w:id="561" w:name="_Toc201508247"/>
      <w:bookmarkEnd w:id="561"/>
      <w:bookmarkStart w:id="562" w:name="_Toc201508625"/>
      <w:bookmarkEnd w:id="562"/>
      <w:bookmarkStart w:id="563" w:name="_Toc201574728"/>
      <w:bookmarkEnd w:id="563"/>
      <w:bookmarkStart w:id="564" w:name="_Toc201575108"/>
      <w:bookmarkEnd w:id="564"/>
      <w:bookmarkStart w:id="565" w:name="_Toc201581677"/>
      <w:bookmarkEnd w:id="565"/>
      <w:bookmarkStart w:id="566" w:name="_Toc201582058"/>
      <w:bookmarkEnd w:id="566"/>
      <w:bookmarkStart w:id="567" w:name="_Toc201582435"/>
      <w:bookmarkEnd w:id="567"/>
      <w:bookmarkStart w:id="568" w:name="_Toc201593318"/>
      <w:bookmarkEnd w:id="568"/>
      <w:bookmarkStart w:id="569" w:name="_Toc201596854"/>
      <w:bookmarkEnd w:id="569"/>
      <w:bookmarkStart w:id="570" w:name="_Toc201597232"/>
      <w:bookmarkEnd w:id="570"/>
      <w:bookmarkStart w:id="571" w:name="_Toc201648058"/>
      <w:bookmarkEnd w:id="571"/>
      <w:bookmarkStart w:id="572" w:name="_Toc201649866"/>
      <w:bookmarkEnd w:id="572"/>
      <w:bookmarkStart w:id="573" w:name="_Toc201653558"/>
      <w:bookmarkEnd w:id="573"/>
      <w:bookmarkStart w:id="574" w:name="_Toc201676618"/>
      <w:bookmarkEnd w:id="574"/>
      <w:bookmarkStart w:id="575" w:name="_Toc201743326"/>
      <w:bookmarkEnd w:id="575"/>
      <w:bookmarkStart w:id="576" w:name="_Toc201743705"/>
      <w:bookmarkEnd w:id="576"/>
      <w:bookmarkStart w:id="577" w:name="_Toc201770055"/>
      <w:bookmarkEnd w:id="577"/>
      <w:bookmarkStart w:id="578" w:name="_Toc201770449"/>
      <w:bookmarkEnd w:id="578"/>
    </w:p>
    <w:p>
      <w:pPr>
        <w:pStyle w:val="28"/>
        <w:keepNext/>
        <w:keepLines/>
        <w:numPr>
          <w:ilvl w:val="1"/>
          <w:numId w:val="8"/>
        </w:numPr>
        <w:spacing w:line="300" w:lineRule="auto"/>
        <w:ind w:firstLineChars="0"/>
        <w:outlineLvl w:val="3"/>
        <w:rPr>
          <w:rFonts w:hint="eastAsia" w:ascii="宋体" w:hAnsi="宋体" w:eastAsia="宋体"/>
          <w:vanish/>
          <w:sz w:val="21"/>
          <w:szCs w:val="21"/>
        </w:rPr>
      </w:pPr>
      <w:bookmarkStart w:id="579" w:name="_Toc201503358"/>
      <w:bookmarkEnd w:id="579"/>
      <w:bookmarkStart w:id="580" w:name="_Toc201503735"/>
      <w:bookmarkEnd w:id="580"/>
      <w:bookmarkStart w:id="581" w:name="_Toc201504111"/>
      <w:bookmarkEnd w:id="581"/>
      <w:bookmarkStart w:id="582" w:name="_Toc201504487"/>
      <w:bookmarkEnd w:id="582"/>
      <w:bookmarkStart w:id="583" w:name="_Toc201504862"/>
      <w:bookmarkEnd w:id="583"/>
      <w:bookmarkStart w:id="584" w:name="_Toc201505238"/>
      <w:bookmarkEnd w:id="584"/>
      <w:bookmarkStart w:id="585" w:name="_Toc201505614"/>
      <w:bookmarkEnd w:id="585"/>
      <w:bookmarkStart w:id="586" w:name="_Toc201505990"/>
      <w:bookmarkEnd w:id="586"/>
      <w:bookmarkStart w:id="587" w:name="_Toc201506364"/>
      <w:bookmarkEnd w:id="587"/>
      <w:bookmarkStart w:id="588" w:name="_Toc201506744"/>
      <w:bookmarkEnd w:id="588"/>
      <w:bookmarkStart w:id="589" w:name="_Toc201507118"/>
      <w:bookmarkEnd w:id="589"/>
      <w:bookmarkStart w:id="590" w:name="_Toc201507492"/>
      <w:bookmarkEnd w:id="590"/>
      <w:bookmarkStart w:id="591" w:name="_Toc201507867"/>
      <w:bookmarkEnd w:id="591"/>
      <w:bookmarkStart w:id="592" w:name="_Toc201508248"/>
      <w:bookmarkEnd w:id="592"/>
      <w:bookmarkStart w:id="593" w:name="_Toc201508626"/>
      <w:bookmarkEnd w:id="593"/>
      <w:bookmarkStart w:id="594" w:name="_Toc201574729"/>
      <w:bookmarkEnd w:id="594"/>
      <w:bookmarkStart w:id="595" w:name="_Toc201575109"/>
      <w:bookmarkEnd w:id="595"/>
      <w:bookmarkStart w:id="596" w:name="_Toc201581678"/>
      <w:bookmarkEnd w:id="596"/>
      <w:bookmarkStart w:id="597" w:name="_Toc201582059"/>
      <w:bookmarkEnd w:id="597"/>
      <w:bookmarkStart w:id="598" w:name="_Toc201582436"/>
      <w:bookmarkEnd w:id="598"/>
      <w:bookmarkStart w:id="599" w:name="_Toc201593319"/>
      <w:bookmarkEnd w:id="599"/>
      <w:bookmarkStart w:id="600" w:name="_Toc201596855"/>
      <w:bookmarkEnd w:id="600"/>
      <w:bookmarkStart w:id="601" w:name="_Toc201597233"/>
      <w:bookmarkEnd w:id="601"/>
      <w:bookmarkStart w:id="602" w:name="_Toc201648059"/>
      <w:bookmarkEnd w:id="602"/>
      <w:bookmarkStart w:id="603" w:name="_Toc201649867"/>
      <w:bookmarkEnd w:id="603"/>
      <w:bookmarkStart w:id="604" w:name="_Toc201653559"/>
      <w:bookmarkEnd w:id="604"/>
      <w:bookmarkStart w:id="605" w:name="_Toc201676619"/>
      <w:bookmarkEnd w:id="605"/>
      <w:bookmarkStart w:id="606" w:name="_Toc201743327"/>
      <w:bookmarkEnd w:id="606"/>
      <w:bookmarkStart w:id="607" w:name="_Toc201743706"/>
      <w:bookmarkEnd w:id="607"/>
      <w:bookmarkStart w:id="608" w:name="_Toc201770056"/>
      <w:bookmarkEnd w:id="608"/>
      <w:bookmarkStart w:id="609" w:name="_Toc201770450"/>
      <w:bookmarkEnd w:id="609"/>
      <w:bookmarkStart w:id="610" w:name="_Toc201502983"/>
      <w:bookmarkEnd w:id="610"/>
      <w:bookmarkStart w:id="611" w:name="_Toc201502231"/>
      <w:bookmarkEnd w:id="611"/>
      <w:bookmarkStart w:id="612" w:name="_Toc201502609"/>
      <w:bookmarkEnd w:id="612"/>
      <w:bookmarkStart w:id="613" w:name="_Toc201501856"/>
      <w:bookmarkEnd w:id="613"/>
      <w:bookmarkStart w:id="614" w:name="_Toc201496594"/>
      <w:bookmarkEnd w:id="614"/>
      <w:bookmarkStart w:id="615" w:name="_Toc201492467"/>
      <w:bookmarkEnd w:id="615"/>
      <w:bookmarkStart w:id="616" w:name="_Toc201412039"/>
      <w:bookmarkEnd w:id="616"/>
      <w:bookmarkStart w:id="617" w:name="_Toc201311847"/>
      <w:bookmarkEnd w:id="617"/>
      <w:bookmarkStart w:id="618" w:name="_Toc201410916"/>
      <w:bookmarkEnd w:id="618"/>
      <w:bookmarkStart w:id="619" w:name="_Toc201260225"/>
      <w:bookmarkEnd w:id="619"/>
      <w:bookmarkStart w:id="620" w:name="_Toc201234036"/>
      <w:bookmarkEnd w:id="620"/>
      <w:bookmarkStart w:id="621" w:name="_Toc201163187"/>
      <w:bookmarkEnd w:id="621"/>
      <w:bookmarkStart w:id="622" w:name="_Toc201412399"/>
      <w:bookmarkEnd w:id="622"/>
    </w:p>
    <w:p>
      <w:pPr>
        <w:pStyle w:val="28"/>
        <w:keepNext/>
        <w:keepLines/>
        <w:numPr>
          <w:ilvl w:val="1"/>
          <w:numId w:val="8"/>
        </w:numPr>
        <w:spacing w:line="300" w:lineRule="auto"/>
        <w:ind w:firstLineChars="0"/>
        <w:outlineLvl w:val="3"/>
        <w:rPr>
          <w:rFonts w:hint="eastAsia" w:ascii="宋体" w:hAnsi="宋体" w:eastAsia="宋体"/>
          <w:vanish/>
          <w:sz w:val="21"/>
          <w:szCs w:val="21"/>
        </w:rPr>
      </w:pPr>
      <w:bookmarkStart w:id="623" w:name="_Toc201163188"/>
      <w:bookmarkEnd w:id="623"/>
      <w:bookmarkStart w:id="624" w:name="_Toc201234037"/>
      <w:bookmarkEnd w:id="624"/>
      <w:bookmarkStart w:id="625" w:name="_Toc201260226"/>
      <w:bookmarkEnd w:id="625"/>
      <w:bookmarkStart w:id="626" w:name="_Toc201311848"/>
      <w:bookmarkEnd w:id="626"/>
      <w:bookmarkStart w:id="627" w:name="_Toc201410917"/>
      <w:bookmarkEnd w:id="627"/>
      <w:bookmarkStart w:id="628" w:name="_Toc201412040"/>
      <w:bookmarkEnd w:id="628"/>
      <w:bookmarkStart w:id="629" w:name="_Toc201412400"/>
      <w:bookmarkEnd w:id="629"/>
      <w:bookmarkStart w:id="630" w:name="_Toc201492468"/>
      <w:bookmarkEnd w:id="630"/>
      <w:bookmarkStart w:id="631" w:name="_Toc201496595"/>
      <w:bookmarkEnd w:id="631"/>
      <w:bookmarkStart w:id="632" w:name="_Toc201501857"/>
      <w:bookmarkEnd w:id="632"/>
      <w:bookmarkStart w:id="633" w:name="_Toc201502232"/>
      <w:bookmarkEnd w:id="633"/>
      <w:bookmarkStart w:id="634" w:name="_Toc201502610"/>
      <w:bookmarkEnd w:id="634"/>
      <w:bookmarkStart w:id="635" w:name="_Toc201502984"/>
      <w:bookmarkEnd w:id="635"/>
      <w:bookmarkStart w:id="636" w:name="_Toc201503359"/>
      <w:bookmarkEnd w:id="636"/>
      <w:bookmarkStart w:id="637" w:name="_Toc201503736"/>
      <w:bookmarkEnd w:id="637"/>
      <w:bookmarkStart w:id="638" w:name="_Toc201504112"/>
      <w:bookmarkEnd w:id="638"/>
      <w:bookmarkStart w:id="639" w:name="_Toc201504488"/>
      <w:bookmarkEnd w:id="639"/>
      <w:bookmarkStart w:id="640" w:name="_Toc201504863"/>
      <w:bookmarkEnd w:id="640"/>
      <w:bookmarkStart w:id="641" w:name="_Toc201505239"/>
      <w:bookmarkEnd w:id="641"/>
      <w:bookmarkStart w:id="642" w:name="_Toc201505615"/>
      <w:bookmarkEnd w:id="642"/>
      <w:bookmarkStart w:id="643" w:name="_Toc201505991"/>
      <w:bookmarkEnd w:id="643"/>
      <w:bookmarkStart w:id="644" w:name="_Toc201506365"/>
      <w:bookmarkEnd w:id="644"/>
      <w:bookmarkStart w:id="645" w:name="_Toc201506745"/>
      <w:bookmarkEnd w:id="645"/>
      <w:bookmarkStart w:id="646" w:name="_Toc201507119"/>
      <w:bookmarkEnd w:id="646"/>
      <w:bookmarkStart w:id="647" w:name="_Toc201507493"/>
      <w:bookmarkEnd w:id="647"/>
      <w:bookmarkStart w:id="648" w:name="_Toc201507868"/>
      <w:bookmarkEnd w:id="648"/>
      <w:bookmarkStart w:id="649" w:name="_Toc201508249"/>
      <w:bookmarkEnd w:id="649"/>
      <w:bookmarkStart w:id="650" w:name="_Toc201508627"/>
      <w:bookmarkEnd w:id="650"/>
      <w:bookmarkStart w:id="651" w:name="_Toc201574730"/>
      <w:bookmarkEnd w:id="651"/>
      <w:bookmarkStart w:id="652" w:name="_Toc201575110"/>
      <w:bookmarkEnd w:id="652"/>
      <w:bookmarkStart w:id="653" w:name="_Toc201581679"/>
      <w:bookmarkEnd w:id="653"/>
      <w:bookmarkStart w:id="654" w:name="_Toc201582060"/>
      <w:bookmarkEnd w:id="654"/>
      <w:bookmarkStart w:id="655" w:name="_Toc201582437"/>
      <w:bookmarkEnd w:id="655"/>
      <w:bookmarkStart w:id="656" w:name="_Toc201593320"/>
      <w:bookmarkEnd w:id="656"/>
      <w:bookmarkStart w:id="657" w:name="_Toc201596856"/>
      <w:bookmarkEnd w:id="657"/>
      <w:bookmarkStart w:id="658" w:name="_Toc201597234"/>
      <w:bookmarkEnd w:id="658"/>
      <w:bookmarkStart w:id="659" w:name="_Toc201648060"/>
      <w:bookmarkEnd w:id="659"/>
      <w:bookmarkStart w:id="660" w:name="_Toc201649868"/>
      <w:bookmarkEnd w:id="660"/>
      <w:bookmarkStart w:id="661" w:name="_Toc201653560"/>
      <w:bookmarkEnd w:id="661"/>
      <w:bookmarkStart w:id="662" w:name="_Toc201676620"/>
      <w:bookmarkEnd w:id="662"/>
      <w:bookmarkStart w:id="663" w:name="_Toc201743328"/>
      <w:bookmarkEnd w:id="663"/>
      <w:bookmarkStart w:id="664" w:name="_Toc201743707"/>
      <w:bookmarkEnd w:id="664"/>
      <w:bookmarkStart w:id="665" w:name="_Toc201770057"/>
      <w:bookmarkEnd w:id="665"/>
      <w:bookmarkStart w:id="666" w:name="_Toc201770451"/>
      <w:bookmarkEnd w:id="666"/>
    </w:p>
    <w:p>
      <w:pPr>
        <w:pStyle w:val="28"/>
        <w:keepNext/>
        <w:keepLines/>
        <w:numPr>
          <w:ilvl w:val="1"/>
          <w:numId w:val="8"/>
        </w:numPr>
        <w:spacing w:line="300" w:lineRule="auto"/>
        <w:ind w:firstLineChars="0"/>
        <w:outlineLvl w:val="3"/>
        <w:rPr>
          <w:rFonts w:hint="eastAsia" w:ascii="宋体" w:hAnsi="宋体" w:eastAsia="宋体"/>
          <w:vanish/>
          <w:sz w:val="21"/>
          <w:szCs w:val="21"/>
        </w:rPr>
      </w:pPr>
      <w:bookmarkStart w:id="667" w:name="_Toc201770452"/>
      <w:bookmarkEnd w:id="667"/>
      <w:bookmarkStart w:id="668" w:name="_Toc201770058"/>
      <w:bookmarkEnd w:id="668"/>
      <w:bookmarkStart w:id="669" w:name="_Toc201743708"/>
      <w:bookmarkEnd w:id="669"/>
      <w:bookmarkStart w:id="670" w:name="_Toc201743329"/>
      <w:bookmarkEnd w:id="670"/>
      <w:bookmarkStart w:id="671" w:name="_Toc201676621"/>
      <w:bookmarkEnd w:id="671"/>
      <w:bookmarkStart w:id="672" w:name="_Toc201653561"/>
      <w:bookmarkEnd w:id="672"/>
      <w:bookmarkStart w:id="673" w:name="_Toc201649869"/>
      <w:bookmarkEnd w:id="673"/>
      <w:bookmarkStart w:id="674" w:name="_Toc201163189"/>
      <w:bookmarkEnd w:id="674"/>
      <w:bookmarkStart w:id="675" w:name="_Toc201234038"/>
      <w:bookmarkEnd w:id="675"/>
      <w:bookmarkStart w:id="676" w:name="_Toc201260227"/>
      <w:bookmarkEnd w:id="676"/>
      <w:bookmarkStart w:id="677" w:name="_Toc201311849"/>
      <w:bookmarkEnd w:id="677"/>
      <w:bookmarkStart w:id="678" w:name="_Toc201410918"/>
      <w:bookmarkEnd w:id="678"/>
      <w:bookmarkStart w:id="679" w:name="_Toc201412041"/>
      <w:bookmarkEnd w:id="679"/>
      <w:bookmarkStart w:id="680" w:name="_Toc201412401"/>
      <w:bookmarkEnd w:id="680"/>
      <w:bookmarkStart w:id="681" w:name="_Toc201492469"/>
      <w:bookmarkEnd w:id="681"/>
      <w:bookmarkStart w:id="682" w:name="_Toc201496596"/>
      <w:bookmarkEnd w:id="682"/>
      <w:bookmarkStart w:id="683" w:name="_Toc201501858"/>
      <w:bookmarkEnd w:id="683"/>
      <w:bookmarkStart w:id="684" w:name="_Toc201502233"/>
      <w:bookmarkEnd w:id="684"/>
      <w:bookmarkStart w:id="685" w:name="_Toc201502611"/>
      <w:bookmarkEnd w:id="685"/>
      <w:bookmarkStart w:id="686" w:name="_Toc201502985"/>
      <w:bookmarkEnd w:id="686"/>
      <w:bookmarkStart w:id="687" w:name="_Toc201503360"/>
      <w:bookmarkEnd w:id="687"/>
      <w:bookmarkStart w:id="688" w:name="_Toc201503737"/>
      <w:bookmarkEnd w:id="688"/>
      <w:bookmarkStart w:id="689" w:name="_Toc201504113"/>
      <w:bookmarkEnd w:id="689"/>
      <w:bookmarkStart w:id="690" w:name="_Toc201504489"/>
      <w:bookmarkEnd w:id="690"/>
      <w:bookmarkStart w:id="691" w:name="_Toc201504864"/>
      <w:bookmarkEnd w:id="691"/>
      <w:bookmarkStart w:id="692" w:name="_Toc201505240"/>
      <w:bookmarkEnd w:id="692"/>
      <w:bookmarkStart w:id="693" w:name="_Toc201505616"/>
      <w:bookmarkEnd w:id="693"/>
      <w:bookmarkStart w:id="694" w:name="_Toc201505992"/>
      <w:bookmarkEnd w:id="694"/>
      <w:bookmarkStart w:id="695" w:name="_Toc201506366"/>
      <w:bookmarkEnd w:id="695"/>
      <w:bookmarkStart w:id="696" w:name="_Toc201506746"/>
      <w:bookmarkEnd w:id="696"/>
      <w:bookmarkStart w:id="697" w:name="_Toc201507120"/>
      <w:bookmarkEnd w:id="697"/>
      <w:bookmarkStart w:id="698" w:name="_Toc201507494"/>
      <w:bookmarkEnd w:id="698"/>
      <w:bookmarkStart w:id="699" w:name="_Toc201507869"/>
      <w:bookmarkEnd w:id="699"/>
      <w:bookmarkStart w:id="700" w:name="_Toc201508250"/>
      <w:bookmarkEnd w:id="700"/>
      <w:bookmarkStart w:id="701" w:name="_Toc201508628"/>
      <w:bookmarkEnd w:id="701"/>
      <w:bookmarkStart w:id="702" w:name="_Toc201574731"/>
      <w:bookmarkEnd w:id="702"/>
      <w:bookmarkStart w:id="703" w:name="_Toc201575111"/>
      <w:bookmarkEnd w:id="703"/>
      <w:bookmarkStart w:id="704" w:name="_Toc201581680"/>
      <w:bookmarkEnd w:id="704"/>
      <w:bookmarkStart w:id="705" w:name="_Toc201582061"/>
      <w:bookmarkEnd w:id="705"/>
      <w:bookmarkStart w:id="706" w:name="_Toc201582438"/>
      <w:bookmarkEnd w:id="706"/>
      <w:bookmarkStart w:id="707" w:name="_Toc201593321"/>
      <w:bookmarkEnd w:id="707"/>
      <w:bookmarkStart w:id="708" w:name="_Toc201596857"/>
      <w:bookmarkEnd w:id="708"/>
      <w:bookmarkStart w:id="709" w:name="_Toc201597235"/>
      <w:bookmarkEnd w:id="709"/>
      <w:bookmarkStart w:id="710" w:name="_Toc201648061"/>
      <w:bookmarkEnd w:id="710"/>
    </w:p>
    <w:p>
      <w:pPr>
        <w:pStyle w:val="28"/>
        <w:keepNext/>
        <w:keepLines/>
        <w:numPr>
          <w:ilvl w:val="1"/>
          <w:numId w:val="8"/>
        </w:numPr>
        <w:spacing w:line="300" w:lineRule="auto"/>
        <w:ind w:firstLineChars="0"/>
        <w:outlineLvl w:val="3"/>
        <w:rPr>
          <w:rFonts w:hint="eastAsia" w:ascii="宋体" w:hAnsi="宋体" w:eastAsia="宋体"/>
          <w:vanish/>
          <w:sz w:val="21"/>
          <w:szCs w:val="21"/>
        </w:rPr>
      </w:pPr>
      <w:bookmarkStart w:id="711" w:name="_Toc201163190"/>
      <w:bookmarkEnd w:id="711"/>
      <w:bookmarkStart w:id="712" w:name="_Toc201234039"/>
      <w:bookmarkEnd w:id="712"/>
      <w:bookmarkStart w:id="713" w:name="_Toc201260228"/>
      <w:bookmarkEnd w:id="713"/>
      <w:bookmarkStart w:id="714" w:name="_Toc201311850"/>
      <w:bookmarkEnd w:id="714"/>
      <w:bookmarkStart w:id="715" w:name="_Toc201410919"/>
      <w:bookmarkEnd w:id="715"/>
      <w:bookmarkStart w:id="716" w:name="_Toc201412042"/>
      <w:bookmarkEnd w:id="716"/>
      <w:bookmarkStart w:id="717" w:name="_Toc201412402"/>
      <w:bookmarkEnd w:id="717"/>
      <w:bookmarkStart w:id="718" w:name="_Toc201492470"/>
      <w:bookmarkEnd w:id="718"/>
      <w:bookmarkStart w:id="719" w:name="_Toc201496597"/>
      <w:bookmarkEnd w:id="719"/>
      <w:bookmarkStart w:id="720" w:name="_Toc201501859"/>
      <w:bookmarkEnd w:id="720"/>
      <w:bookmarkStart w:id="721" w:name="_Toc201502234"/>
      <w:bookmarkEnd w:id="721"/>
      <w:bookmarkStart w:id="722" w:name="_Toc201502612"/>
      <w:bookmarkEnd w:id="722"/>
      <w:bookmarkStart w:id="723" w:name="_Toc201502986"/>
      <w:bookmarkEnd w:id="723"/>
      <w:bookmarkStart w:id="724" w:name="_Toc201503361"/>
      <w:bookmarkEnd w:id="724"/>
      <w:bookmarkStart w:id="725" w:name="_Toc201503738"/>
      <w:bookmarkEnd w:id="725"/>
      <w:bookmarkStart w:id="726" w:name="_Toc201504114"/>
      <w:bookmarkEnd w:id="726"/>
      <w:bookmarkStart w:id="727" w:name="_Toc201504490"/>
      <w:bookmarkEnd w:id="727"/>
      <w:bookmarkStart w:id="728" w:name="_Toc201504865"/>
      <w:bookmarkEnd w:id="728"/>
      <w:bookmarkStart w:id="729" w:name="_Toc201505241"/>
      <w:bookmarkEnd w:id="729"/>
      <w:bookmarkStart w:id="730" w:name="_Toc201505617"/>
      <w:bookmarkEnd w:id="730"/>
      <w:bookmarkStart w:id="731" w:name="_Toc201505993"/>
      <w:bookmarkEnd w:id="731"/>
      <w:bookmarkStart w:id="732" w:name="_Toc201506367"/>
      <w:bookmarkEnd w:id="732"/>
      <w:bookmarkStart w:id="733" w:name="_Toc201506747"/>
      <w:bookmarkEnd w:id="733"/>
      <w:bookmarkStart w:id="734" w:name="_Toc201507121"/>
      <w:bookmarkEnd w:id="734"/>
      <w:bookmarkStart w:id="735" w:name="_Toc201507495"/>
      <w:bookmarkEnd w:id="735"/>
      <w:bookmarkStart w:id="736" w:name="_Toc201507870"/>
      <w:bookmarkEnd w:id="736"/>
      <w:bookmarkStart w:id="737" w:name="_Toc201508251"/>
      <w:bookmarkEnd w:id="737"/>
      <w:bookmarkStart w:id="738" w:name="_Toc201508629"/>
      <w:bookmarkEnd w:id="738"/>
      <w:bookmarkStart w:id="739" w:name="_Toc201574732"/>
      <w:bookmarkEnd w:id="739"/>
      <w:bookmarkStart w:id="740" w:name="_Toc201575112"/>
      <w:bookmarkEnd w:id="740"/>
      <w:bookmarkStart w:id="741" w:name="_Toc201581681"/>
      <w:bookmarkEnd w:id="741"/>
      <w:bookmarkStart w:id="742" w:name="_Toc201582062"/>
      <w:bookmarkEnd w:id="742"/>
      <w:bookmarkStart w:id="743" w:name="_Toc201582439"/>
      <w:bookmarkEnd w:id="743"/>
      <w:bookmarkStart w:id="744" w:name="_Toc201593322"/>
      <w:bookmarkEnd w:id="744"/>
      <w:bookmarkStart w:id="745" w:name="_Toc201596858"/>
      <w:bookmarkEnd w:id="745"/>
      <w:bookmarkStart w:id="746" w:name="_Toc201597236"/>
      <w:bookmarkEnd w:id="746"/>
      <w:bookmarkStart w:id="747" w:name="_Toc201648062"/>
      <w:bookmarkEnd w:id="747"/>
      <w:bookmarkStart w:id="748" w:name="_Toc201649870"/>
      <w:bookmarkEnd w:id="748"/>
      <w:bookmarkStart w:id="749" w:name="_Toc201653562"/>
      <w:bookmarkEnd w:id="749"/>
      <w:bookmarkStart w:id="750" w:name="_Toc201676622"/>
      <w:bookmarkEnd w:id="750"/>
      <w:bookmarkStart w:id="751" w:name="_Toc201743330"/>
      <w:bookmarkEnd w:id="751"/>
      <w:bookmarkStart w:id="752" w:name="_Toc201743709"/>
      <w:bookmarkEnd w:id="752"/>
      <w:bookmarkStart w:id="753" w:name="_Toc201770059"/>
      <w:bookmarkEnd w:id="753"/>
      <w:bookmarkStart w:id="754" w:name="_Toc201770453"/>
      <w:bookmarkEnd w:id="754"/>
    </w:p>
    <w:p>
      <w:pPr>
        <w:pStyle w:val="28"/>
        <w:keepNext/>
        <w:keepLines/>
        <w:numPr>
          <w:ilvl w:val="1"/>
          <w:numId w:val="9"/>
        </w:numPr>
        <w:spacing w:line="300" w:lineRule="auto"/>
        <w:ind w:firstLineChars="0"/>
        <w:outlineLvl w:val="3"/>
        <w:rPr>
          <w:rFonts w:hint="eastAsia" w:ascii="宋体" w:hAnsi="宋体" w:eastAsia="宋体"/>
          <w:vanish/>
          <w:sz w:val="21"/>
          <w:szCs w:val="21"/>
        </w:rPr>
      </w:pPr>
      <w:bookmarkStart w:id="755" w:name="_Toc201145443"/>
      <w:bookmarkEnd w:id="755"/>
      <w:bookmarkStart w:id="756" w:name="_Toc201163192"/>
      <w:bookmarkEnd w:id="756"/>
      <w:bookmarkStart w:id="757" w:name="_Toc201234041"/>
      <w:bookmarkEnd w:id="757"/>
      <w:bookmarkStart w:id="758" w:name="_Toc201260230"/>
      <w:bookmarkEnd w:id="758"/>
      <w:bookmarkStart w:id="759" w:name="_Toc201311852"/>
      <w:bookmarkEnd w:id="759"/>
      <w:bookmarkStart w:id="760" w:name="_Toc201410921"/>
      <w:bookmarkEnd w:id="760"/>
      <w:bookmarkStart w:id="761" w:name="_Toc201412044"/>
      <w:bookmarkEnd w:id="761"/>
      <w:bookmarkStart w:id="762" w:name="_Toc201412404"/>
      <w:bookmarkEnd w:id="762"/>
      <w:bookmarkStart w:id="763" w:name="_Toc201492472"/>
      <w:bookmarkEnd w:id="763"/>
      <w:bookmarkStart w:id="764" w:name="_Toc201496599"/>
      <w:bookmarkEnd w:id="764"/>
      <w:bookmarkStart w:id="765" w:name="_Toc201501861"/>
      <w:bookmarkEnd w:id="765"/>
      <w:bookmarkStart w:id="766" w:name="_Toc201502236"/>
      <w:bookmarkEnd w:id="766"/>
      <w:bookmarkStart w:id="767" w:name="_Toc201502614"/>
      <w:bookmarkEnd w:id="767"/>
      <w:bookmarkStart w:id="768" w:name="_Toc201502988"/>
      <w:bookmarkEnd w:id="768"/>
      <w:bookmarkStart w:id="769" w:name="_Toc201503363"/>
      <w:bookmarkEnd w:id="769"/>
      <w:bookmarkStart w:id="770" w:name="_Toc201503740"/>
      <w:bookmarkEnd w:id="770"/>
      <w:bookmarkStart w:id="771" w:name="_Toc201504116"/>
      <w:bookmarkEnd w:id="771"/>
      <w:bookmarkStart w:id="772" w:name="_Toc201504492"/>
      <w:bookmarkEnd w:id="772"/>
      <w:bookmarkStart w:id="773" w:name="_Toc201504867"/>
      <w:bookmarkEnd w:id="773"/>
      <w:bookmarkStart w:id="774" w:name="_Toc201505243"/>
      <w:bookmarkEnd w:id="774"/>
      <w:bookmarkStart w:id="775" w:name="_Toc201505619"/>
      <w:bookmarkEnd w:id="775"/>
      <w:bookmarkStart w:id="776" w:name="_Toc201505995"/>
      <w:bookmarkEnd w:id="776"/>
      <w:bookmarkStart w:id="777" w:name="_Toc201506369"/>
      <w:bookmarkEnd w:id="777"/>
      <w:bookmarkStart w:id="778" w:name="_Toc201506749"/>
      <w:bookmarkEnd w:id="778"/>
      <w:bookmarkStart w:id="779" w:name="_Toc201507123"/>
      <w:bookmarkEnd w:id="779"/>
      <w:bookmarkStart w:id="780" w:name="_Toc201507497"/>
      <w:bookmarkEnd w:id="780"/>
      <w:bookmarkStart w:id="781" w:name="_Toc201507872"/>
      <w:bookmarkEnd w:id="781"/>
      <w:bookmarkStart w:id="782" w:name="_Toc201508253"/>
      <w:bookmarkEnd w:id="782"/>
      <w:bookmarkStart w:id="783" w:name="_Toc201508631"/>
      <w:bookmarkEnd w:id="783"/>
      <w:bookmarkStart w:id="784" w:name="_Toc201574734"/>
      <w:bookmarkEnd w:id="784"/>
      <w:bookmarkStart w:id="785" w:name="_Toc201575114"/>
      <w:bookmarkEnd w:id="785"/>
      <w:bookmarkStart w:id="786" w:name="_Toc201581683"/>
      <w:bookmarkEnd w:id="786"/>
      <w:bookmarkStart w:id="787" w:name="_Toc201582064"/>
      <w:bookmarkEnd w:id="787"/>
      <w:bookmarkStart w:id="788" w:name="_Toc201582441"/>
      <w:bookmarkEnd w:id="788"/>
      <w:bookmarkStart w:id="789" w:name="_Toc201593324"/>
      <w:bookmarkEnd w:id="789"/>
      <w:bookmarkStart w:id="790" w:name="_Toc201596860"/>
      <w:bookmarkEnd w:id="790"/>
      <w:bookmarkStart w:id="791" w:name="_Toc201597238"/>
      <w:bookmarkEnd w:id="791"/>
      <w:bookmarkStart w:id="792" w:name="_Toc201648064"/>
      <w:bookmarkEnd w:id="792"/>
      <w:bookmarkStart w:id="793" w:name="_Toc201649872"/>
      <w:bookmarkEnd w:id="793"/>
      <w:bookmarkStart w:id="794" w:name="_Toc201653564"/>
      <w:bookmarkEnd w:id="794"/>
      <w:bookmarkStart w:id="795" w:name="_Toc201676624"/>
      <w:bookmarkEnd w:id="795"/>
      <w:bookmarkStart w:id="796" w:name="_Toc201743332"/>
      <w:bookmarkEnd w:id="796"/>
      <w:bookmarkStart w:id="797" w:name="_Toc201743711"/>
      <w:bookmarkEnd w:id="797"/>
      <w:bookmarkStart w:id="798" w:name="_Toc201770061"/>
      <w:bookmarkEnd w:id="798"/>
      <w:bookmarkStart w:id="799" w:name="_Toc201770455"/>
      <w:bookmarkEnd w:id="799"/>
    </w:p>
    <w:p>
      <w:pPr>
        <w:pStyle w:val="28"/>
        <w:keepNext/>
        <w:keepLines/>
        <w:numPr>
          <w:ilvl w:val="1"/>
          <w:numId w:val="9"/>
        </w:numPr>
        <w:spacing w:line="300" w:lineRule="auto"/>
        <w:ind w:firstLineChars="0"/>
        <w:outlineLvl w:val="3"/>
        <w:rPr>
          <w:rFonts w:hint="eastAsia" w:ascii="宋体" w:hAnsi="宋体" w:eastAsia="宋体"/>
          <w:vanish/>
          <w:sz w:val="21"/>
          <w:szCs w:val="21"/>
        </w:rPr>
      </w:pPr>
      <w:bookmarkStart w:id="800" w:name="_Toc201163193"/>
      <w:bookmarkEnd w:id="800"/>
      <w:bookmarkStart w:id="801" w:name="_Toc201234042"/>
      <w:bookmarkEnd w:id="801"/>
      <w:bookmarkStart w:id="802" w:name="_Toc201260231"/>
      <w:bookmarkEnd w:id="802"/>
      <w:bookmarkStart w:id="803" w:name="_Toc201311853"/>
      <w:bookmarkEnd w:id="803"/>
      <w:bookmarkStart w:id="804" w:name="_Toc201410922"/>
      <w:bookmarkEnd w:id="804"/>
      <w:bookmarkStart w:id="805" w:name="_Toc201412045"/>
      <w:bookmarkEnd w:id="805"/>
      <w:bookmarkStart w:id="806" w:name="_Toc201412405"/>
      <w:bookmarkEnd w:id="806"/>
      <w:bookmarkStart w:id="807" w:name="_Toc201492473"/>
      <w:bookmarkEnd w:id="807"/>
      <w:bookmarkStart w:id="808" w:name="_Toc201496600"/>
      <w:bookmarkEnd w:id="808"/>
      <w:bookmarkStart w:id="809" w:name="_Toc201501862"/>
      <w:bookmarkEnd w:id="809"/>
      <w:bookmarkStart w:id="810" w:name="_Toc201502237"/>
      <w:bookmarkEnd w:id="810"/>
      <w:bookmarkStart w:id="811" w:name="_Toc201502615"/>
      <w:bookmarkEnd w:id="811"/>
      <w:bookmarkStart w:id="812" w:name="_Toc201502989"/>
      <w:bookmarkEnd w:id="812"/>
      <w:bookmarkStart w:id="813" w:name="_Toc201503364"/>
      <w:bookmarkEnd w:id="813"/>
      <w:bookmarkStart w:id="814" w:name="_Toc201503741"/>
      <w:bookmarkEnd w:id="814"/>
      <w:bookmarkStart w:id="815" w:name="_Toc201504117"/>
      <w:bookmarkEnd w:id="815"/>
      <w:bookmarkStart w:id="816" w:name="_Toc201504493"/>
      <w:bookmarkEnd w:id="816"/>
      <w:bookmarkStart w:id="817" w:name="_Toc201504868"/>
      <w:bookmarkEnd w:id="817"/>
      <w:bookmarkStart w:id="818" w:name="_Toc201505244"/>
      <w:bookmarkEnd w:id="818"/>
      <w:bookmarkStart w:id="819" w:name="_Toc201505620"/>
      <w:bookmarkEnd w:id="819"/>
      <w:bookmarkStart w:id="820" w:name="_Toc201505996"/>
      <w:bookmarkEnd w:id="820"/>
      <w:bookmarkStart w:id="821" w:name="_Toc201506370"/>
      <w:bookmarkEnd w:id="821"/>
      <w:bookmarkStart w:id="822" w:name="_Toc201506750"/>
      <w:bookmarkEnd w:id="822"/>
      <w:bookmarkStart w:id="823" w:name="_Toc201507124"/>
      <w:bookmarkEnd w:id="823"/>
      <w:bookmarkStart w:id="824" w:name="_Toc201507498"/>
      <w:bookmarkEnd w:id="824"/>
      <w:bookmarkStart w:id="825" w:name="_Toc201507873"/>
      <w:bookmarkEnd w:id="825"/>
      <w:bookmarkStart w:id="826" w:name="_Toc201508254"/>
      <w:bookmarkEnd w:id="826"/>
      <w:bookmarkStart w:id="827" w:name="_Toc201508632"/>
      <w:bookmarkEnd w:id="827"/>
      <w:bookmarkStart w:id="828" w:name="_Toc201574735"/>
      <w:bookmarkEnd w:id="828"/>
      <w:bookmarkStart w:id="829" w:name="_Toc201575115"/>
      <w:bookmarkEnd w:id="829"/>
      <w:bookmarkStart w:id="830" w:name="_Toc201581684"/>
      <w:bookmarkEnd w:id="830"/>
      <w:bookmarkStart w:id="831" w:name="_Toc201582065"/>
      <w:bookmarkEnd w:id="831"/>
      <w:bookmarkStart w:id="832" w:name="_Toc201582442"/>
      <w:bookmarkEnd w:id="832"/>
      <w:bookmarkStart w:id="833" w:name="_Toc201593325"/>
      <w:bookmarkEnd w:id="833"/>
      <w:bookmarkStart w:id="834" w:name="_Toc201596861"/>
      <w:bookmarkEnd w:id="834"/>
      <w:bookmarkStart w:id="835" w:name="_Toc201597239"/>
      <w:bookmarkEnd w:id="835"/>
      <w:bookmarkStart w:id="836" w:name="_Toc201648065"/>
      <w:bookmarkEnd w:id="836"/>
      <w:bookmarkStart w:id="837" w:name="_Toc201649873"/>
      <w:bookmarkEnd w:id="837"/>
      <w:bookmarkStart w:id="838" w:name="_Toc201653565"/>
      <w:bookmarkEnd w:id="838"/>
      <w:bookmarkStart w:id="839" w:name="_Toc201676625"/>
      <w:bookmarkEnd w:id="839"/>
      <w:bookmarkStart w:id="840" w:name="_Toc201743333"/>
      <w:bookmarkEnd w:id="840"/>
      <w:bookmarkStart w:id="841" w:name="_Toc201743712"/>
      <w:bookmarkEnd w:id="841"/>
      <w:bookmarkStart w:id="842" w:name="_Toc201770062"/>
      <w:bookmarkEnd w:id="842"/>
      <w:bookmarkStart w:id="843" w:name="_Toc201770456"/>
      <w:bookmarkEnd w:id="843"/>
    </w:p>
    <w:p>
      <w:pPr>
        <w:pStyle w:val="28"/>
        <w:keepNext/>
        <w:keepLines/>
        <w:numPr>
          <w:ilvl w:val="2"/>
          <w:numId w:val="9"/>
        </w:numPr>
        <w:spacing w:line="300" w:lineRule="auto"/>
        <w:ind w:firstLineChars="0"/>
        <w:outlineLvl w:val="3"/>
        <w:rPr>
          <w:rFonts w:hint="eastAsia" w:ascii="宋体" w:hAnsi="宋体" w:eastAsia="宋体"/>
          <w:vanish/>
          <w:sz w:val="21"/>
          <w:szCs w:val="21"/>
        </w:rPr>
      </w:pPr>
      <w:bookmarkStart w:id="844" w:name="_Toc201163194"/>
      <w:bookmarkEnd w:id="844"/>
      <w:bookmarkStart w:id="845" w:name="_Toc201234043"/>
      <w:bookmarkEnd w:id="845"/>
      <w:bookmarkStart w:id="846" w:name="_Toc201260232"/>
      <w:bookmarkEnd w:id="846"/>
      <w:bookmarkStart w:id="847" w:name="_Toc201311854"/>
      <w:bookmarkEnd w:id="847"/>
      <w:bookmarkStart w:id="848" w:name="_Toc201410923"/>
      <w:bookmarkEnd w:id="848"/>
      <w:bookmarkStart w:id="849" w:name="_Toc201412046"/>
      <w:bookmarkEnd w:id="849"/>
      <w:bookmarkStart w:id="850" w:name="_Toc201412406"/>
      <w:bookmarkEnd w:id="850"/>
      <w:bookmarkStart w:id="851" w:name="_Toc201492474"/>
      <w:bookmarkEnd w:id="851"/>
      <w:bookmarkStart w:id="852" w:name="_Toc201496601"/>
      <w:bookmarkEnd w:id="852"/>
      <w:bookmarkStart w:id="853" w:name="_Toc201501863"/>
      <w:bookmarkEnd w:id="853"/>
      <w:bookmarkStart w:id="854" w:name="_Toc201502238"/>
      <w:bookmarkEnd w:id="854"/>
      <w:bookmarkStart w:id="855" w:name="_Toc201502616"/>
      <w:bookmarkEnd w:id="855"/>
      <w:bookmarkStart w:id="856" w:name="_Toc201502990"/>
      <w:bookmarkEnd w:id="856"/>
      <w:bookmarkStart w:id="857" w:name="_Toc201503365"/>
      <w:bookmarkEnd w:id="857"/>
      <w:bookmarkStart w:id="858" w:name="_Toc201503742"/>
      <w:bookmarkEnd w:id="858"/>
      <w:bookmarkStart w:id="859" w:name="_Toc201504118"/>
      <w:bookmarkEnd w:id="859"/>
      <w:bookmarkStart w:id="860" w:name="_Toc201504494"/>
      <w:bookmarkEnd w:id="860"/>
      <w:bookmarkStart w:id="861" w:name="_Toc201504869"/>
      <w:bookmarkEnd w:id="861"/>
      <w:bookmarkStart w:id="862" w:name="_Toc201505245"/>
      <w:bookmarkEnd w:id="862"/>
      <w:bookmarkStart w:id="863" w:name="_Toc201505621"/>
      <w:bookmarkEnd w:id="863"/>
      <w:bookmarkStart w:id="864" w:name="_Toc201505997"/>
      <w:bookmarkEnd w:id="864"/>
      <w:bookmarkStart w:id="865" w:name="_Toc201506371"/>
      <w:bookmarkEnd w:id="865"/>
      <w:bookmarkStart w:id="866" w:name="_Toc201506751"/>
      <w:bookmarkEnd w:id="866"/>
      <w:bookmarkStart w:id="867" w:name="_Toc201507125"/>
      <w:bookmarkEnd w:id="867"/>
      <w:bookmarkStart w:id="868" w:name="_Toc201507499"/>
      <w:bookmarkEnd w:id="868"/>
      <w:bookmarkStart w:id="869" w:name="_Toc201507874"/>
      <w:bookmarkEnd w:id="869"/>
      <w:bookmarkStart w:id="870" w:name="_Toc201508255"/>
      <w:bookmarkEnd w:id="870"/>
      <w:bookmarkStart w:id="871" w:name="_Toc201508633"/>
      <w:bookmarkEnd w:id="871"/>
      <w:bookmarkStart w:id="872" w:name="_Toc201574736"/>
      <w:bookmarkEnd w:id="872"/>
      <w:bookmarkStart w:id="873" w:name="_Toc201575116"/>
      <w:bookmarkEnd w:id="873"/>
      <w:bookmarkStart w:id="874" w:name="_Toc201581685"/>
      <w:bookmarkEnd w:id="874"/>
      <w:bookmarkStart w:id="875" w:name="_Toc201582066"/>
      <w:bookmarkEnd w:id="875"/>
      <w:bookmarkStart w:id="876" w:name="_Toc201582443"/>
      <w:bookmarkEnd w:id="876"/>
      <w:bookmarkStart w:id="877" w:name="_Toc201593326"/>
      <w:bookmarkEnd w:id="877"/>
      <w:bookmarkStart w:id="878" w:name="_Toc201596862"/>
      <w:bookmarkEnd w:id="878"/>
      <w:bookmarkStart w:id="879" w:name="_Toc201597240"/>
      <w:bookmarkEnd w:id="879"/>
      <w:bookmarkStart w:id="880" w:name="_Toc201648066"/>
      <w:bookmarkEnd w:id="880"/>
      <w:bookmarkStart w:id="881" w:name="_Toc201649874"/>
      <w:bookmarkEnd w:id="881"/>
      <w:bookmarkStart w:id="882" w:name="_Toc201653566"/>
      <w:bookmarkEnd w:id="882"/>
      <w:bookmarkStart w:id="883" w:name="_Toc201676626"/>
      <w:bookmarkEnd w:id="883"/>
      <w:bookmarkStart w:id="884" w:name="_Toc201743334"/>
      <w:bookmarkEnd w:id="884"/>
      <w:bookmarkStart w:id="885" w:name="_Toc201743713"/>
      <w:bookmarkEnd w:id="885"/>
      <w:bookmarkStart w:id="886" w:name="_Toc201770063"/>
      <w:bookmarkEnd w:id="886"/>
      <w:bookmarkStart w:id="887" w:name="_Toc201770457"/>
      <w:bookmarkEnd w:id="887"/>
    </w:p>
    <w:tbl>
      <w:tblPr>
        <w:tblStyle w:val="17"/>
        <w:tblW w:w="88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4"/>
        <w:gridCol w:w="70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4" w:type="dxa"/>
            <w:shd w:val="pct5" w:color="auto" w:fill="auto"/>
          </w:tcPr>
          <w:p>
            <w:pPr>
              <w:spacing w:line="300" w:lineRule="auto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主模块</w:t>
            </w:r>
          </w:p>
        </w:tc>
        <w:tc>
          <w:tcPr>
            <w:tcW w:w="7094" w:type="dxa"/>
            <w:shd w:val="pct5" w:color="auto" w:fill="auto"/>
          </w:tcPr>
          <w:p>
            <w:pPr>
              <w:spacing w:line="300" w:lineRule="auto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功能说明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4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健康中心</w:t>
            </w:r>
          </w:p>
        </w:tc>
        <w:tc>
          <w:tcPr>
            <w:tcW w:w="7094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采用图形化界面，直观展示学生的健康数据，包括身高、体重、血压、肺活量等十六类一百五十余项体检指标。关键性指标依据相应国家标准或相应规范进行评价，并给予翔实的健康指导建议。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4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体检信息</w:t>
            </w:r>
          </w:p>
        </w:tc>
        <w:tc>
          <w:tcPr>
            <w:tcW w:w="7094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以时间轴形式展示历次体检信息，并可签收体检报告。通过追踪学生历年体检数据，展示详细的成长曲线。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4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健康知识</w:t>
            </w:r>
          </w:p>
        </w:tc>
        <w:tc>
          <w:tcPr>
            <w:tcW w:w="7094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家长查阅系统发布健康科普知识，支持图文、视频等健康教育信息展示。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4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个人中心</w:t>
            </w:r>
          </w:p>
        </w:tc>
        <w:tc>
          <w:tcPr>
            <w:tcW w:w="7094" w:type="dxa"/>
          </w:tcPr>
          <w:p>
            <w:pPr>
              <w:spacing w:line="300" w:lineRule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提供多孩间快速切换、在线咨询、在线就诊预约、健康自评功能。</w:t>
            </w:r>
          </w:p>
        </w:tc>
      </w:tr>
    </w:tbl>
    <w:p>
      <w:pPr>
        <w:pStyle w:val="2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宋体" w:hAnsi="宋体" w:cs="宋体"/>
          <w:b/>
          <w:bCs w:val="0"/>
          <w:lang w:val="en-US" w:eastAsia="zh-CN"/>
        </w:rPr>
      </w:pPr>
    </w:p>
    <w:bookmarkEnd w:id="2"/>
    <w:p>
      <w:pPr>
        <w:spacing w:line="360" w:lineRule="auto"/>
        <w:rPr>
          <w:rFonts w:ascii="宋体" w:hAnsi="宋体" w:cs="宋体"/>
          <w:b/>
        </w:rPr>
      </w:pPr>
      <w:bookmarkStart w:id="888" w:name="_Toc847"/>
      <w:r>
        <w:rPr>
          <w:rFonts w:hint="eastAsia" w:ascii="宋体" w:hAnsi="宋体" w:cs="宋体"/>
          <w:b/>
        </w:rPr>
        <w:t>五、项目商务要求</w:t>
      </w:r>
      <w:bookmarkEnd w:id="888"/>
    </w:p>
    <w:p>
      <w:pPr>
        <w:spacing w:line="360" w:lineRule="auto"/>
        <w:rPr>
          <w:rFonts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14:textFill>
            <w14:solidFill>
              <w14:schemeClr w14:val="tx1"/>
            </w14:solidFill>
          </w14:textFill>
        </w:rPr>
        <w:t>1．</w:t>
      </w:r>
      <w:r>
        <w:rPr>
          <w:rFonts w:hint="eastAsia" w:ascii="宋体" w:hAnsi="宋体" w:cs="宋体"/>
          <w:b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售后服务</w:t>
      </w:r>
      <w:r>
        <w:rPr>
          <w:rFonts w:hint="eastAsia" w:ascii="宋体" w:hAnsi="宋体" w:cs="宋体"/>
          <w:b/>
          <w:color w:val="000000" w:themeColor="text1"/>
          <w14:textFill>
            <w14:solidFill>
              <w14:schemeClr w14:val="tx1"/>
            </w14:solidFill>
          </w14:textFill>
        </w:rPr>
        <w:t>时间：</w:t>
      </w:r>
      <w:r>
        <w:rPr>
          <w:rFonts w:hint="eastAsia" w:ascii="宋体" w:hAnsi="宋体" w:cs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本项目服务自签署合同之</w:t>
      </w: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日起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年。</w:t>
      </w:r>
    </w:p>
    <w:p>
      <w:pPr>
        <w:spacing w:line="360" w:lineRule="auto"/>
        <w:rPr>
          <w:rFonts w:hint="eastAsia" w:ascii="宋体" w:hAnsi="宋体" w:cs="宋体" w:eastAsia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14:textFill>
            <w14:solidFill>
              <w14:schemeClr w14:val="tx1"/>
            </w14:solidFill>
          </w14:textFill>
        </w:rPr>
        <w:t>2．</w:t>
      </w:r>
      <w:r>
        <w:rPr>
          <w:rFonts w:hint="eastAsia" w:ascii="宋体" w:hAnsi="宋体" w:cs="宋体"/>
          <w:b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服务</w:t>
      </w:r>
      <w:r>
        <w:rPr>
          <w:rFonts w:hint="eastAsia" w:ascii="宋体" w:hAnsi="宋体" w:cs="宋体"/>
          <w:b/>
          <w:color w:val="000000" w:themeColor="text1"/>
          <w14:textFill>
            <w14:solidFill>
              <w14:schemeClr w14:val="tx1"/>
            </w14:solidFill>
          </w14:textFill>
        </w:rPr>
        <w:t>地点：</w:t>
      </w: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惠州市中大惠亚医院</w:t>
      </w:r>
      <w:r>
        <w:rPr>
          <w:rFonts w:hint="eastAsia" w:ascii="宋体" w:hAnsi="宋体" w:cs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指定地点</w:t>
      </w:r>
    </w:p>
    <w:p>
      <w:pPr>
        <w:spacing w:line="360" w:lineRule="auto"/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14:textFill>
            <w14:solidFill>
              <w14:schemeClr w14:val="tx1"/>
            </w14:solidFill>
          </w14:textFill>
        </w:rPr>
        <w:t>3．</w:t>
      </w:r>
      <w:r>
        <w:rPr>
          <w:rFonts w:hint="eastAsia" w:ascii="宋体" w:hAnsi="宋体" w:cs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部署要求：</w:t>
      </w:r>
      <w:r>
        <w:rPr>
          <w:rFonts w:hint="eastAsia" w:ascii="宋体" w:hAnsi="宋体" w:cs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提供的系统</w:t>
      </w: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部署在院内指定的服务器，并提供商业版本（非免费）的数据备份软件（支持数据库与文件的完整、差异、增量备份，支持本地与远程备份，备份完成的数据可异地容灾）。</w:t>
      </w:r>
    </w:p>
    <w:p>
      <w:pPr>
        <w:spacing w:line="360" w:lineRule="auto"/>
        <w:rPr>
          <w:rFonts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4、</w:t>
      </w:r>
      <w:r>
        <w:rPr>
          <w:rFonts w:hint="eastAsia" w:ascii="宋体" w:hAnsi="宋体" w:cs="宋体"/>
          <w:b/>
          <w:color w:val="000000" w:themeColor="text1"/>
          <w14:textFill>
            <w14:solidFill>
              <w14:schemeClr w14:val="tx1"/>
            </w14:solidFill>
          </w14:textFill>
        </w:rPr>
        <w:t>验收要求：</w:t>
      </w: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按年度考核</w:t>
      </w:r>
      <w:r>
        <w:rPr>
          <w:rFonts w:hint="eastAsia" w:ascii="宋体" w:hAnsi="宋体" w:cs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本系统租赁服</w:t>
      </w: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务进度完成情况，中标人提交</w:t>
      </w:r>
      <w:r>
        <w:rPr>
          <w:rFonts w:hint="eastAsia" w:ascii="宋体" w:hAnsi="宋体" w:cs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年度</w:t>
      </w: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服务报告，并准备相关材料，采购人组织相关人员进行考核验收。</w:t>
      </w:r>
    </w:p>
    <w:p>
      <w:pPr>
        <w:spacing w:line="360" w:lineRule="auto"/>
        <w:rPr>
          <w:rFonts w:hint="eastAsia" w:ascii="宋体" w:hAnsi="宋体" w:cs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cs="宋体"/>
          <w:b/>
          <w:color w:val="000000" w:themeColor="text1"/>
          <w14:textFill>
            <w14:solidFill>
              <w14:schemeClr w14:val="tx1"/>
            </w14:solidFill>
          </w14:textFill>
        </w:rPr>
        <w:t>．响应时间：</w:t>
      </w:r>
    </w:p>
    <w:p>
      <w:pPr>
        <w:spacing w:line="360" w:lineRule="auto"/>
        <w:rPr>
          <w:rFonts w:hint="eastAsia" w:ascii="宋体" w:hAnsi="宋体" w:cs="宋体"/>
          <w:color w:val="auto"/>
          <w:szCs w:val="21"/>
        </w:rPr>
      </w:pPr>
      <w:r>
        <w:rPr>
          <w:rFonts w:hint="eastAsia" w:ascii="宋体" w:hAnsi="宋体" w:cs="宋体"/>
          <w:b w:val="0"/>
          <w:bCs/>
          <w:color w:val="auto"/>
          <w:lang w:val="en-US" w:eastAsia="zh-CN"/>
        </w:rPr>
        <w:t>(1)</w:t>
      </w:r>
      <w:r>
        <w:rPr>
          <w:rFonts w:hint="eastAsia" w:ascii="宋体" w:hAnsi="宋体" w:cs="宋体"/>
          <w:color w:val="auto"/>
          <w:szCs w:val="21"/>
        </w:rPr>
        <w:t>服务响应时间为全年7×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8</w:t>
      </w:r>
      <w:r>
        <w:rPr>
          <w:rFonts w:hint="eastAsia" w:ascii="宋体" w:hAnsi="宋体" w:cs="宋体"/>
          <w:color w:val="auto"/>
          <w:szCs w:val="21"/>
        </w:rPr>
        <w:t>小时响应，紧急情况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24小时内到医院处理，</w:t>
      </w:r>
      <w:r>
        <w:rPr>
          <w:rFonts w:hint="eastAsia" w:ascii="宋体" w:hAnsi="宋体" w:cs="宋体"/>
          <w:color w:val="auto"/>
          <w:szCs w:val="21"/>
        </w:rPr>
        <w:t>若组织调整或业务流程变更，提供及时的变更服务。</w:t>
      </w:r>
    </w:p>
    <w:p>
      <w:pPr>
        <w:spacing w:line="360" w:lineRule="auto"/>
        <w:jc w:val="left"/>
        <w:rPr>
          <w:rFonts w:hint="eastAsia" w:ascii="宋体" w:hAnsi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(2)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提供7×24小时技术咨询服务，解答</w:t>
      </w: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医院用户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在系统操作、数据处理、功能使用过程中遇到的问题，提供远程或现场技术指导。</w:t>
      </w:r>
    </w:p>
    <w:p>
      <w:pPr>
        <w:spacing w:line="360" w:lineRule="auto"/>
        <w:rPr>
          <w:rFonts w:ascii="仿宋" w:hAnsi="仿宋" w:eastAsia="仿宋" w:cs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cs="宋体"/>
          <w:b/>
          <w:color w:val="000000" w:themeColor="text1"/>
          <w14:textFill>
            <w14:solidFill>
              <w14:schemeClr w14:val="tx1"/>
            </w14:solidFill>
          </w14:textFill>
        </w:rPr>
        <w:t>．售后服务要求：</w:t>
      </w:r>
    </w:p>
    <w:p>
      <w:pPr>
        <w:spacing w:line="360" w:lineRule="auto"/>
        <w:rPr>
          <w:rFonts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（1）</w:t>
      </w:r>
      <w:r>
        <w:rPr>
          <w:rFonts w:hint="eastAsia" w:ascii="宋体" w:hAnsi="宋体" w:cs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服务期内开展系统维护所需的人力、税费等所有</w:t>
      </w: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费用</w:t>
      </w:r>
      <w:r>
        <w:rPr>
          <w:rFonts w:hint="eastAsia" w:ascii="宋体" w:hAnsi="宋体" w:cs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需包含在内</w:t>
      </w: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>
      <w:pPr>
        <w:spacing w:line="360" w:lineRule="auto"/>
        <w:rPr>
          <w:rFonts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（2）要求投标人具有快速到达现场维护、应急抢修的能力，应对现场维护、应急抢修措施等情况</w:t>
      </w:r>
      <w:r>
        <w:rPr>
          <w:rFonts w:hint="eastAsia" w:ascii="宋体" w:hAnsi="宋体" w:cs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，提供应急现场技术支持服务</w:t>
      </w: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>
      <w:pPr>
        <w:spacing w:line="360" w:lineRule="auto"/>
        <w:rPr>
          <w:rFonts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（3）要求</w:t>
      </w:r>
      <w:r>
        <w:rPr>
          <w:rFonts w:hint="eastAsia" w:ascii="宋体" w:hAnsi="宋体" w:cs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投标人服务期</w:t>
      </w: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内提供远程技术支持服务。</w:t>
      </w:r>
    </w:p>
    <w:p>
      <w:pPr>
        <w:spacing w:line="360" w:lineRule="auto"/>
        <w:jc w:val="left"/>
        <w:rPr>
          <w:rFonts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  <w:t>（4）</w:t>
      </w:r>
      <w:r>
        <w:rPr>
          <w:rFonts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  <w:t>对硬件设备和系统软件配合供应厂商提供服务</w:t>
      </w:r>
      <w:r>
        <w:rPr>
          <w:rFonts w:hint="eastAsia"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>
      <w:pPr>
        <w:spacing w:line="360" w:lineRule="auto"/>
        <w:jc w:val="left"/>
        <w:rPr>
          <w:rFonts w:hint="eastAsia"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  <w:t>（5）</w:t>
      </w:r>
      <w:r>
        <w:rPr>
          <w:rFonts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  <w:t>对医院在使用系统过程中出现的技术问题提供技术指导</w:t>
      </w:r>
      <w:r>
        <w:rPr>
          <w:rFonts w:hint="eastAsia"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>
      <w:pPr>
        <w:spacing w:line="360" w:lineRule="auto"/>
        <w:jc w:val="left"/>
        <w:rPr>
          <w:rFonts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  <w:t>（6）提供文档设备及</w:t>
      </w:r>
      <w:r>
        <w:rPr>
          <w:rFonts w:hint="eastAsia" w:asciiTheme="minorEastAsia" w:hAnsi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记</w:t>
      </w:r>
      <w:r>
        <w:rPr>
          <w:rFonts w:hint="eastAsia"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  <w:t>录管理信息系统</w:t>
      </w:r>
      <w:r>
        <w:rPr>
          <w:rFonts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  <w:t>正确性维护</w:t>
      </w:r>
      <w:r>
        <w:rPr>
          <w:rFonts w:hint="eastAsia"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>
      <w:pPr>
        <w:spacing w:line="360" w:lineRule="auto"/>
        <w:jc w:val="left"/>
        <w:rPr>
          <w:rFonts w:asciiTheme="minorEastAsia" w:hAnsi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（7）</w:t>
      </w:r>
      <w:r>
        <w:rPr>
          <w:rFonts w:hint="eastAsia" w:asciiTheme="minorEastAsia" w:hAnsiTheme="minor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提供</w:t>
      </w:r>
      <w:r>
        <w:rPr>
          <w:rFonts w:hint="eastAsia" w:asciiTheme="minorEastAsia" w:hAnsi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文档设备及</w:t>
      </w:r>
      <w:r>
        <w:rPr>
          <w:rFonts w:hint="eastAsia" w:asciiTheme="minorEastAsia" w:hAnsiTheme="minor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记</w:t>
      </w:r>
      <w:r>
        <w:rPr>
          <w:rFonts w:hint="eastAsia" w:asciiTheme="minorEastAsia" w:hAnsi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录管理信息系统定期的检查维护。</w:t>
      </w:r>
    </w:p>
    <w:p>
      <w:pPr>
        <w:spacing w:line="360" w:lineRule="auto"/>
        <w:jc w:val="left"/>
        <w:rPr>
          <w:rFonts w:hint="eastAsia"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  <w:t>（8）</w:t>
      </w:r>
      <w:r>
        <w:rPr>
          <w:rFonts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  <w:t>非系统原因导致系统故障、数据错误等，如医院使用不当、病毒等原因引起的</w:t>
      </w:r>
      <w:r>
        <w:rPr>
          <w:rFonts w:hint="eastAsia" w:asciiTheme="minorEastAsia" w:hAnsi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文档设备及纪录管理信息系统</w:t>
      </w:r>
      <w:r>
        <w:rPr>
          <w:rFonts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  <w:t>、数据</w:t>
      </w:r>
      <w:r>
        <w:rPr>
          <w:rFonts w:hint="eastAsia"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  <w:t>库</w:t>
      </w:r>
      <w:r>
        <w:rPr>
          <w:rFonts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  <w:t>、系统软件、操作系统损坏等，需要提供</w:t>
      </w:r>
      <w:r>
        <w:rPr>
          <w:rFonts w:hint="eastAsia"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  <w:t>维护</w:t>
      </w:r>
      <w:r>
        <w:rPr>
          <w:rFonts w:hint="eastAsia" w:asciiTheme="minorEastAsia" w:hAnsi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恢复</w:t>
      </w:r>
      <w:r>
        <w:rPr>
          <w:rFonts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  <w:t>服</w:t>
      </w:r>
      <w:r>
        <w:rPr>
          <w:rFonts w:hint="eastAsia"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  <w:t>务。</w:t>
      </w:r>
    </w:p>
    <w:p>
      <w:pPr>
        <w:spacing w:line="360" w:lineRule="auto"/>
        <w:jc w:val="left"/>
        <w:rPr>
          <w:rFonts w:hint="default" w:asciiTheme="minorEastAsia" w:hAnsiTheme="minorEastAsia" w:eastAsia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根据系统更新、功能优化及用户需求，定期开展系统操作培训、功能使用培训，覆盖各相关科室用户，确保用户熟练掌握系统操作技巧，提升工作效率。</w:t>
      </w:r>
    </w:p>
    <w:p>
      <w:pPr>
        <w:spacing w:line="360" w:lineRule="auto"/>
        <w:jc w:val="left"/>
        <w:rPr>
          <w:rFonts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Theme="minorEastAsia" w:hAnsi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  <w:t>）根据医院业务发展的需要，向医院提供现有版本稳定运行。</w:t>
      </w:r>
    </w:p>
    <w:p>
      <w:pPr>
        <w:spacing w:line="360" w:lineRule="auto"/>
        <w:rPr>
          <w:rFonts w:ascii="宋体" w:hAnsi="宋体" w:cs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宋体" w:hAnsi="宋体" w:cs="宋体"/>
          <w:b/>
          <w:color w:val="000000" w:themeColor="text1"/>
          <w14:textFill>
            <w14:solidFill>
              <w14:schemeClr w14:val="tx1"/>
            </w14:solidFill>
          </w14:textFill>
        </w:rPr>
        <w:t>．培训要求：</w:t>
      </w:r>
    </w:p>
    <w:p>
      <w:pPr>
        <w:spacing w:line="360" w:lineRule="auto"/>
        <w:rPr>
          <w:rFonts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（1）制定详细的培训方案，提供技术培训、操作培训和现场指导，完成对开发技术及工具等在内的全部免费培训。培训方案要详细描述培训的具体内容和时间安排。</w:t>
      </w:r>
    </w:p>
    <w:p>
      <w:pPr>
        <w:spacing w:line="360" w:lineRule="auto"/>
        <w:rPr>
          <w:rFonts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14:textFill>
            <w14:solidFill>
              <w14:schemeClr w14:val="tx1"/>
            </w14:solidFill>
          </w14:textFill>
        </w:rPr>
        <w:t>（2）</w:t>
      </w: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培训方式应包括技术讲课、操作示范、参观学习和其它必须的业务指导和技术咨询，确保培训人员对系统基本原理、技术特性、操作规范、运行规程、管理维护等方面获得全面了解和掌握。</w:t>
      </w:r>
    </w:p>
    <w:p>
      <w:pPr>
        <w:spacing w:line="360" w:lineRule="auto"/>
        <w:rPr>
          <w:rFonts w:asciiTheme="minorEastAsia" w:hAnsi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（3）技术培训应包含包括 1）</w:t>
      </w:r>
      <w:r>
        <w:rPr>
          <w:rFonts w:asciiTheme="minorEastAsia" w:hAnsi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系统的日常操作管理与维护，并对一般性故障进行诊断、排除与恢复；</w:t>
      </w:r>
      <w:r>
        <w:rPr>
          <w:rFonts w:hint="eastAsia" w:asciiTheme="minorEastAsia" w:hAnsi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2）</w:t>
      </w:r>
      <w:r>
        <w:rPr>
          <w:rFonts w:asciiTheme="minorEastAsia" w:hAnsi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能建立相应软件的管理策略；</w:t>
      </w:r>
      <w:r>
        <w:rPr>
          <w:rFonts w:hint="eastAsia" w:asciiTheme="minorEastAsia" w:hAnsi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3）提供对应的基础字典数据库文档并指导信息科人员操作数据库。</w:t>
      </w:r>
    </w:p>
    <w:p>
      <w:pPr>
        <w:spacing w:line="360" w:lineRule="auto"/>
        <w:rPr>
          <w:rFonts w:ascii="宋体" w:hAnsi="宋体" w:cs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cs="宋体"/>
          <w:b/>
          <w:color w:val="000000" w:themeColor="text1"/>
          <w14:textFill>
            <w14:solidFill>
              <w14:schemeClr w14:val="tx1"/>
            </w14:solidFill>
          </w14:textFill>
        </w:rPr>
        <w:t>．付款方式：</w:t>
      </w:r>
    </w:p>
    <w:p>
      <w:pPr>
        <w:spacing w:line="500" w:lineRule="exact"/>
        <w:rPr>
          <w:rFonts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（1）合同签订后，</w:t>
      </w:r>
      <w:bookmarkStart w:id="889" w:name="_GoBack"/>
      <w:bookmarkEnd w:id="889"/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凭中标人提供的正式发票，采购人向中标人支付相应合同额的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0%；</w:t>
      </w:r>
    </w:p>
    <w:p>
      <w:pPr>
        <w:spacing w:line="500" w:lineRule="exact"/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（2）</w:t>
      </w:r>
      <w:r>
        <w:rPr>
          <w:rFonts w:hint="eastAsia" w:ascii="宋体" w:hAnsi="宋体" w:cs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中小学生体检完成后</w:t>
      </w: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，凭相应的</w:t>
      </w:r>
      <w:r>
        <w:rPr>
          <w:rFonts w:hint="eastAsia" w:ascii="宋体" w:hAnsi="宋体" w:cs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验收</w:t>
      </w: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报告经采购人签字确认后，凭中标人提供的正式发票，采购人向中标人支付相应合同额的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50</w:t>
      </w: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%。</w:t>
      </w:r>
    </w:p>
    <w:p>
      <w:pPr>
        <w:spacing w:line="500" w:lineRule="exact"/>
        <w:rPr>
          <w:rFonts w:hint="eastAsia" w:ascii="宋体" w:hAnsi="宋体" w:cs="宋体" w:eastAsia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73534"/>
    <w:multiLevelType w:val="multilevel"/>
    <w:tmpl w:val="02C7353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suff w:val="space"/>
      <w:lvlText w:val="%1.%2.%3.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">
    <w:nsid w:val="0632572F"/>
    <w:multiLevelType w:val="multilevel"/>
    <w:tmpl w:val="0632572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suff w:val="space"/>
      <w:lvlText w:val="%1.%2.%3.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2">
    <w:nsid w:val="23C15340"/>
    <w:multiLevelType w:val="multilevel"/>
    <w:tmpl w:val="23C1534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suff w:val="space"/>
      <w:lvlText w:val="%1.%2.%3.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3">
    <w:nsid w:val="34DF1297"/>
    <w:multiLevelType w:val="multilevel"/>
    <w:tmpl w:val="34DF1297"/>
    <w:lvl w:ilvl="0" w:tentative="0">
      <w:start w:val="1"/>
      <w:numFmt w:val="decimal"/>
      <w:pStyle w:val="6"/>
      <w:lvlText w:val="（%1）"/>
      <w:lvlJc w:val="left"/>
      <w:pPr>
        <w:ind w:left="90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74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2160" w:hanging="420"/>
      </w:pPr>
      <w:rPr>
        <w:rFonts w:hint="eastAsia"/>
      </w:rPr>
    </w:lvl>
    <w:lvl w:ilvl="4" w:tentative="0">
      <w:start w:val="1"/>
      <w:numFmt w:val="lowerLetter"/>
      <w:suff w:val="space"/>
      <w:lvlText w:val="%5)"/>
      <w:lvlJc w:val="left"/>
      <w:pPr>
        <w:ind w:left="258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0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42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84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260" w:hanging="420"/>
      </w:pPr>
      <w:rPr>
        <w:rFonts w:hint="eastAsia"/>
      </w:rPr>
    </w:lvl>
  </w:abstractNum>
  <w:abstractNum w:abstractNumId="4">
    <w:nsid w:val="37A56474"/>
    <w:multiLevelType w:val="multilevel"/>
    <w:tmpl w:val="37A56474"/>
    <w:lvl w:ilvl="0" w:tentative="0">
      <w:start w:val="4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B617F8A"/>
    <w:multiLevelType w:val="multilevel"/>
    <w:tmpl w:val="4B617F8A"/>
    <w:lvl w:ilvl="0" w:tentative="0">
      <w:start w:val="1"/>
      <w:numFmt w:val="decimal"/>
      <w:pStyle w:val="31"/>
      <w:lvlText w:val="%1.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2" w:tentative="0">
      <w:start w:val="1"/>
      <w:numFmt w:val="decimal"/>
      <w:lvlText w:val="%1.%2.%3."/>
      <w:lvlJc w:val="left"/>
      <w:pPr>
        <w:tabs>
          <w:tab w:val="left" w:pos="425"/>
        </w:tabs>
        <w:ind w:left="425" w:hanging="425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6">
    <w:nsid w:val="5A4248CD"/>
    <w:multiLevelType w:val="multilevel"/>
    <w:tmpl w:val="5A4248CD"/>
    <w:lvl w:ilvl="0" w:tentative="0">
      <w:start w:val="1"/>
      <w:numFmt w:val="chineseCountingThousand"/>
      <w:pStyle w:val="2"/>
      <w:lvlText w:val="第%1章 "/>
      <w:lvlJc w:val="left"/>
      <w:pPr>
        <w:tabs>
          <w:tab w:val="left" w:pos="567"/>
        </w:tabs>
        <w:ind w:left="0" w:firstLine="0"/>
      </w:pPr>
      <w:rPr>
        <w:rFonts w:hint="default" w:ascii="Times New Roman" w:hAnsi="Times New Roman" w:eastAsia="宋体" w:cs="Times New Roman"/>
      </w:rPr>
    </w:lvl>
    <w:lvl w:ilvl="1" w:tentative="0">
      <w:start w:val="1"/>
      <w:numFmt w:val="decimal"/>
      <w:lvlRestart w:val="0"/>
      <w:pStyle w:val="3"/>
      <w:isLgl/>
      <w:suff w:val="space"/>
      <w:lvlText w:val="%1.%2"/>
      <w:lvlJc w:val="left"/>
      <w:pPr>
        <w:ind w:left="0" w:firstLine="0"/>
      </w:pPr>
      <w:rPr>
        <w:rFonts w:hint="default" w:ascii="Times New Roman" w:hAnsi="Times New Roman" w:eastAsia="宋体"/>
        <w:sz w:val="32"/>
        <w:szCs w:val="32"/>
      </w:rPr>
    </w:lvl>
    <w:lvl w:ilvl="2" w:tentative="0">
      <w:start w:val="1"/>
      <w:numFmt w:val="decimal"/>
      <w:isLgl/>
      <w:suff w:val="space"/>
      <w:lvlText w:val="%1.%2.%3"/>
      <w:lvlJc w:val="left"/>
      <w:pPr>
        <w:ind w:left="0" w:firstLine="0"/>
      </w:pPr>
      <w:rPr>
        <w:rFonts w:hint="default" w:ascii="Times New Roman" w:hAnsi="Times New Roman" w:eastAsia="宋体" w:cs="宋体"/>
        <w:sz w:val="30"/>
        <w:szCs w:val="30"/>
      </w:rPr>
    </w:lvl>
    <w:lvl w:ilvl="3" w:tentative="0">
      <w:start w:val="1"/>
      <w:numFmt w:val="decimal"/>
      <w:pStyle w:val="5"/>
      <w:isLgl/>
      <w:suff w:val="space"/>
      <w:lvlText w:val="%1.%2.%3.%4"/>
      <w:lvlJc w:val="left"/>
      <w:pPr>
        <w:ind w:left="17" w:hanging="17"/>
      </w:pPr>
      <w:rPr>
        <w:rFonts w:hint="default" w:ascii="宋体" w:hAnsi="宋体" w:eastAsia="宋体" w:cs="宋体"/>
        <w:sz w:val="24"/>
      </w:rPr>
    </w:lvl>
    <w:lvl w:ilvl="4" w:tentative="0">
      <w:start w:val="1"/>
      <w:numFmt w:val="decimal"/>
      <w:lvlText w:val="%5)"/>
      <w:lvlJc w:val="left"/>
      <w:pPr>
        <w:tabs>
          <w:tab w:val="left" w:pos="1008"/>
        </w:tabs>
        <w:ind w:left="1008" w:hanging="432"/>
      </w:pPr>
      <w:rPr>
        <w:rFonts w:hint="eastAsia"/>
      </w:rPr>
    </w:lvl>
    <w:lvl w:ilvl="5" w:tentative="0">
      <w:start w:val="1"/>
      <w:numFmt w:val="lowerLetter"/>
      <w:pStyle w:val="7"/>
      <w:lvlText w:val="%6)"/>
      <w:lvlJc w:val="left"/>
      <w:pPr>
        <w:tabs>
          <w:tab w:val="left" w:pos="1152"/>
        </w:tabs>
        <w:ind w:left="1152" w:hanging="432"/>
      </w:pPr>
      <w:rPr>
        <w:rFonts w:hint="eastAsia"/>
      </w:rPr>
    </w:lvl>
    <w:lvl w:ilvl="6" w:tentative="0">
      <w:start w:val="1"/>
      <w:numFmt w:val="lowerRoman"/>
      <w:pStyle w:val="8"/>
      <w:lvlText w:val="%7)"/>
      <w:lvlJc w:val="right"/>
      <w:pPr>
        <w:tabs>
          <w:tab w:val="left" w:pos="1296"/>
        </w:tabs>
        <w:ind w:left="1296" w:hanging="288"/>
      </w:pPr>
      <w:rPr>
        <w:rFonts w:hint="eastAsia"/>
      </w:rPr>
    </w:lvl>
    <w:lvl w:ilvl="7" w:tentative="0">
      <w:start w:val="1"/>
      <w:numFmt w:val="lowerLetter"/>
      <w:pStyle w:val="9"/>
      <w:lvlText w:val="%8."/>
      <w:lvlJc w:val="left"/>
      <w:pPr>
        <w:tabs>
          <w:tab w:val="left" w:pos="1440"/>
        </w:tabs>
        <w:ind w:left="1440" w:hanging="432"/>
      </w:pPr>
      <w:rPr>
        <w:rFonts w:hint="eastAsia"/>
      </w:rPr>
    </w:lvl>
    <w:lvl w:ilvl="8" w:tentative="0">
      <w:start w:val="1"/>
      <w:numFmt w:val="lowerRoman"/>
      <w:pStyle w:val="10"/>
      <w:lvlText w:val="%9."/>
      <w:lvlJc w:val="right"/>
      <w:pPr>
        <w:tabs>
          <w:tab w:val="left" w:pos="1584"/>
        </w:tabs>
        <w:ind w:left="1584" w:hanging="144"/>
      </w:pPr>
      <w:rPr>
        <w:rFonts w:hint="eastAsia"/>
      </w:rPr>
    </w:lvl>
  </w:abstractNum>
  <w:abstractNum w:abstractNumId="7">
    <w:nsid w:val="664D6B9D"/>
    <w:multiLevelType w:val="multilevel"/>
    <w:tmpl w:val="664D6B9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suff w:val="space"/>
      <w:lvlText w:val="%1.%2.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8">
    <w:nsid w:val="6FC22AB3"/>
    <w:multiLevelType w:val="multilevel"/>
    <w:tmpl w:val="6FC22AB3"/>
    <w:lvl w:ilvl="0" w:tentative="0">
      <w:start w:val="1"/>
      <w:numFmt w:val="decimal"/>
      <w:lvlText w:val="(%1)."/>
      <w:lvlJc w:val="left"/>
      <w:pPr>
        <w:tabs>
          <w:tab w:val="left" w:pos="425"/>
        </w:tabs>
        <w:ind w:left="425" w:hanging="425"/>
      </w:pPr>
      <w:rPr>
        <w:rFonts w:hint="default"/>
      </w:rPr>
    </w:lvl>
    <w:lvl w:ilvl="1" w:tentative="0">
      <w:start w:val="1"/>
      <w:numFmt w:val="decimal"/>
      <w:pStyle w:val="30"/>
      <w:suff w:val="space"/>
      <w:lvlText w:val="(%2)"/>
      <w:lvlJc w:val="left"/>
      <w:pPr>
        <w:tabs>
          <w:tab w:val="left" w:pos="420"/>
        </w:tabs>
        <w:ind w:left="0" w:firstLine="420"/>
      </w:pPr>
      <w:rPr>
        <w:rFonts w:hint="default" w:ascii="Times New Roman" w:hAnsi="Times New Roman" w:eastAsia="宋体" w:cs="Times New Roman"/>
      </w:rPr>
    </w:lvl>
    <w:lvl w:ilvl="2" w:tentative="0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 w:tentative="0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 w:tentative="0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5"/>
  </w:num>
  <w:num w:numId="5">
    <w:abstractNumId w:val="4"/>
  </w:num>
  <w:num w:numId="6">
    <w:abstractNumId w:val="7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ECC"/>
    <w:rsid w:val="00011CE5"/>
    <w:rsid w:val="00027B79"/>
    <w:rsid w:val="0004707F"/>
    <w:rsid w:val="0006437C"/>
    <w:rsid w:val="00064FE9"/>
    <w:rsid w:val="00087546"/>
    <w:rsid w:val="00092866"/>
    <w:rsid w:val="00095A3C"/>
    <w:rsid w:val="000A63C1"/>
    <w:rsid w:val="000B6617"/>
    <w:rsid w:val="000C20FD"/>
    <w:rsid w:val="000C30F1"/>
    <w:rsid w:val="000C50CB"/>
    <w:rsid w:val="000D273C"/>
    <w:rsid w:val="000D6551"/>
    <w:rsid w:val="000D6E94"/>
    <w:rsid w:val="000E0C7A"/>
    <w:rsid w:val="000E32ED"/>
    <w:rsid w:val="000E48C0"/>
    <w:rsid w:val="000E6A26"/>
    <w:rsid w:val="00104491"/>
    <w:rsid w:val="00106CE5"/>
    <w:rsid w:val="001102D3"/>
    <w:rsid w:val="00112E85"/>
    <w:rsid w:val="00113891"/>
    <w:rsid w:val="001152D3"/>
    <w:rsid w:val="00132A6F"/>
    <w:rsid w:val="001360D8"/>
    <w:rsid w:val="0014436B"/>
    <w:rsid w:val="0016023A"/>
    <w:rsid w:val="001877E1"/>
    <w:rsid w:val="001A50CD"/>
    <w:rsid w:val="001B4019"/>
    <w:rsid w:val="001C3ECC"/>
    <w:rsid w:val="001D02BE"/>
    <w:rsid w:val="001D6234"/>
    <w:rsid w:val="001E1DF0"/>
    <w:rsid w:val="00200E8C"/>
    <w:rsid w:val="00204858"/>
    <w:rsid w:val="00210D74"/>
    <w:rsid w:val="00222B5A"/>
    <w:rsid w:val="0023088A"/>
    <w:rsid w:val="00257E19"/>
    <w:rsid w:val="002702C9"/>
    <w:rsid w:val="002967BE"/>
    <w:rsid w:val="002A7B9C"/>
    <w:rsid w:val="002C3DFB"/>
    <w:rsid w:val="002C7D51"/>
    <w:rsid w:val="002D2578"/>
    <w:rsid w:val="002E5882"/>
    <w:rsid w:val="002E69EE"/>
    <w:rsid w:val="002E73EE"/>
    <w:rsid w:val="002E745D"/>
    <w:rsid w:val="002F25EB"/>
    <w:rsid w:val="00306B87"/>
    <w:rsid w:val="0030783C"/>
    <w:rsid w:val="00321B2F"/>
    <w:rsid w:val="003224FE"/>
    <w:rsid w:val="003254D8"/>
    <w:rsid w:val="00330CAD"/>
    <w:rsid w:val="00355076"/>
    <w:rsid w:val="00363D50"/>
    <w:rsid w:val="0036453C"/>
    <w:rsid w:val="003655C3"/>
    <w:rsid w:val="0038677A"/>
    <w:rsid w:val="00386DE5"/>
    <w:rsid w:val="003A29E7"/>
    <w:rsid w:val="003A3041"/>
    <w:rsid w:val="003B1390"/>
    <w:rsid w:val="003B58C8"/>
    <w:rsid w:val="003C5FA9"/>
    <w:rsid w:val="003D728B"/>
    <w:rsid w:val="003F77C7"/>
    <w:rsid w:val="00402347"/>
    <w:rsid w:val="00413133"/>
    <w:rsid w:val="00425BE7"/>
    <w:rsid w:val="004459C8"/>
    <w:rsid w:val="00460030"/>
    <w:rsid w:val="00462736"/>
    <w:rsid w:val="00466D7D"/>
    <w:rsid w:val="0049219D"/>
    <w:rsid w:val="00492D0D"/>
    <w:rsid w:val="00496753"/>
    <w:rsid w:val="004A1FB5"/>
    <w:rsid w:val="004A357D"/>
    <w:rsid w:val="004A3738"/>
    <w:rsid w:val="004A71E4"/>
    <w:rsid w:val="004B0AC1"/>
    <w:rsid w:val="004D2091"/>
    <w:rsid w:val="004D327E"/>
    <w:rsid w:val="004E20B3"/>
    <w:rsid w:val="00500C99"/>
    <w:rsid w:val="005167D0"/>
    <w:rsid w:val="00532B3D"/>
    <w:rsid w:val="005341D7"/>
    <w:rsid w:val="00537C9B"/>
    <w:rsid w:val="005407D0"/>
    <w:rsid w:val="00540DD1"/>
    <w:rsid w:val="00560D53"/>
    <w:rsid w:val="00561490"/>
    <w:rsid w:val="005853A9"/>
    <w:rsid w:val="005866BC"/>
    <w:rsid w:val="00587034"/>
    <w:rsid w:val="00594CFC"/>
    <w:rsid w:val="005A5AAC"/>
    <w:rsid w:val="005C0DF8"/>
    <w:rsid w:val="005C1A5E"/>
    <w:rsid w:val="005D3AEE"/>
    <w:rsid w:val="005F1EA2"/>
    <w:rsid w:val="006133EA"/>
    <w:rsid w:val="006372BE"/>
    <w:rsid w:val="00655035"/>
    <w:rsid w:val="00657023"/>
    <w:rsid w:val="006603CF"/>
    <w:rsid w:val="00664392"/>
    <w:rsid w:val="00666E8A"/>
    <w:rsid w:val="00671D6B"/>
    <w:rsid w:val="00673C90"/>
    <w:rsid w:val="006827C6"/>
    <w:rsid w:val="00686CF2"/>
    <w:rsid w:val="006930A7"/>
    <w:rsid w:val="006A751E"/>
    <w:rsid w:val="006A7B44"/>
    <w:rsid w:val="006B2FBC"/>
    <w:rsid w:val="006E02B9"/>
    <w:rsid w:val="006F4D48"/>
    <w:rsid w:val="006F6BB5"/>
    <w:rsid w:val="007034EB"/>
    <w:rsid w:val="00703EFA"/>
    <w:rsid w:val="0070743A"/>
    <w:rsid w:val="0071022B"/>
    <w:rsid w:val="00710F12"/>
    <w:rsid w:val="00713DCC"/>
    <w:rsid w:val="007218C3"/>
    <w:rsid w:val="00723859"/>
    <w:rsid w:val="007342C0"/>
    <w:rsid w:val="007403DB"/>
    <w:rsid w:val="00740DF4"/>
    <w:rsid w:val="00740E86"/>
    <w:rsid w:val="00741EDA"/>
    <w:rsid w:val="00753D98"/>
    <w:rsid w:val="00754072"/>
    <w:rsid w:val="007542EA"/>
    <w:rsid w:val="007704B6"/>
    <w:rsid w:val="00773899"/>
    <w:rsid w:val="007741BE"/>
    <w:rsid w:val="0078404B"/>
    <w:rsid w:val="00786A83"/>
    <w:rsid w:val="00792BA6"/>
    <w:rsid w:val="007A1566"/>
    <w:rsid w:val="007A7E2B"/>
    <w:rsid w:val="007B12AA"/>
    <w:rsid w:val="007C2E76"/>
    <w:rsid w:val="007C7C96"/>
    <w:rsid w:val="007D37CC"/>
    <w:rsid w:val="007D4E96"/>
    <w:rsid w:val="007F08CD"/>
    <w:rsid w:val="007F0FEE"/>
    <w:rsid w:val="00803B29"/>
    <w:rsid w:val="008140C7"/>
    <w:rsid w:val="00816F48"/>
    <w:rsid w:val="00823DA4"/>
    <w:rsid w:val="00831D45"/>
    <w:rsid w:val="00846A81"/>
    <w:rsid w:val="008540FD"/>
    <w:rsid w:val="00865CB3"/>
    <w:rsid w:val="008703F7"/>
    <w:rsid w:val="008842BF"/>
    <w:rsid w:val="00890BEA"/>
    <w:rsid w:val="008A3E44"/>
    <w:rsid w:val="008B47A4"/>
    <w:rsid w:val="008B7C3E"/>
    <w:rsid w:val="008E1FCC"/>
    <w:rsid w:val="008F58AA"/>
    <w:rsid w:val="009245E5"/>
    <w:rsid w:val="0092487D"/>
    <w:rsid w:val="0092583B"/>
    <w:rsid w:val="00947F61"/>
    <w:rsid w:val="0096026E"/>
    <w:rsid w:val="009611D0"/>
    <w:rsid w:val="00964E9C"/>
    <w:rsid w:val="00972E7A"/>
    <w:rsid w:val="009978D3"/>
    <w:rsid w:val="009C2667"/>
    <w:rsid w:val="009C6A4F"/>
    <w:rsid w:val="009C7A0D"/>
    <w:rsid w:val="009D1FB0"/>
    <w:rsid w:val="009D60E1"/>
    <w:rsid w:val="009D7CCE"/>
    <w:rsid w:val="009E14B2"/>
    <w:rsid w:val="009F09A2"/>
    <w:rsid w:val="00A0368C"/>
    <w:rsid w:val="00A11842"/>
    <w:rsid w:val="00A12A27"/>
    <w:rsid w:val="00A137F3"/>
    <w:rsid w:val="00A17C97"/>
    <w:rsid w:val="00A3249B"/>
    <w:rsid w:val="00A372B4"/>
    <w:rsid w:val="00A53F68"/>
    <w:rsid w:val="00A84E69"/>
    <w:rsid w:val="00A86107"/>
    <w:rsid w:val="00A94CC9"/>
    <w:rsid w:val="00A97E25"/>
    <w:rsid w:val="00AA0B7E"/>
    <w:rsid w:val="00AA5A7E"/>
    <w:rsid w:val="00AB0809"/>
    <w:rsid w:val="00AB26BA"/>
    <w:rsid w:val="00AC61B9"/>
    <w:rsid w:val="00AC681E"/>
    <w:rsid w:val="00AD2B19"/>
    <w:rsid w:val="00AE7F92"/>
    <w:rsid w:val="00B01BD5"/>
    <w:rsid w:val="00B06057"/>
    <w:rsid w:val="00B068E0"/>
    <w:rsid w:val="00B1249A"/>
    <w:rsid w:val="00B161F8"/>
    <w:rsid w:val="00B23127"/>
    <w:rsid w:val="00B510FA"/>
    <w:rsid w:val="00B61629"/>
    <w:rsid w:val="00B7029A"/>
    <w:rsid w:val="00B715F8"/>
    <w:rsid w:val="00B721D6"/>
    <w:rsid w:val="00BA429C"/>
    <w:rsid w:val="00BD3F8B"/>
    <w:rsid w:val="00BF25B4"/>
    <w:rsid w:val="00BF579E"/>
    <w:rsid w:val="00C01D00"/>
    <w:rsid w:val="00C02028"/>
    <w:rsid w:val="00C06B0A"/>
    <w:rsid w:val="00C17CC4"/>
    <w:rsid w:val="00C22680"/>
    <w:rsid w:val="00C56A05"/>
    <w:rsid w:val="00C778CB"/>
    <w:rsid w:val="00C93A7D"/>
    <w:rsid w:val="00C940DF"/>
    <w:rsid w:val="00CB04F8"/>
    <w:rsid w:val="00CB22A3"/>
    <w:rsid w:val="00CB6523"/>
    <w:rsid w:val="00CC2905"/>
    <w:rsid w:val="00CC3E2C"/>
    <w:rsid w:val="00CC5F96"/>
    <w:rsid w:val="00CC6303"/>
    <w:rsid w:val="00CF00FA"/>
    <w:rsid w:val="00CF7A5B"/>
    <w:rsid w:val="00D0012D"/>
    <w:rsid w:val="00D17905"/>
    <w:rsid w:val="00D27026"/>
    <w:rsid w:val="00D37C8A"/>
    <w:rsid w:val="00D5048A"/>
    <w:rsid w:val="00D537C4"/>
    <w:rsid w:val="00D553AE"/>
    <w:rsid w:val="00D56AB3"/>
    <w:rsid w:val="00D64527"/>
    <w:rsid w:val="00D7397B"/>
    <w:rsid w:val="00D908D9"/>
    <w:rsid w:val="00D95E97"/>
    <w:rsid w:val="00D97D8E"/>
    <w:rsid w:val="00DA3C9C"/>
    <w:rsid w:val="00DC07BF"/>
    <w:rsid w:val="00DC428F"/>
    <w:rsid w:val="00DC76C0"/>
    <w:rsid w:val="00DD5905"/>
    <w:rsid w:val="00DE1328"/>
    <w:rsid w:val="00DE7A17"/>
    <w:rsid w:val="00DF2A88"/>
    <w:rsid w:val="00DF335E"/>
    <w:rsid w:val="00DF5E7D"/>
    <w:rsid w:val="00E012A0"/>
    <w:rsid w:val="00E01728"/>
    <w:rsid w:val="00E1765D"/>
    <w:rsid w:val="00E2372E"/>
    <w:rsid w:val="00E27B8E"/>
    <w:rsid w:val="00E37C88"/>
    <w:rsid w:val="00E47BB3"/>
    <w:rsid w:val="00E50F1E"/>
    <w:rsid w:val="00E520C2"/>
    <w:rsid w:val="00E53118"/>
    <w:rsid w:val="00E53281"/>
    <w:rsid w:val="00E537BD"/>
    <w:rsid w:val="00E809DF"/>
    <w:rsid w:val="00E85AA2"/>
    <w:rsid w:val="00E90B7E"/>
    <w:rsid w:val="00E93DD3"/>
    <w:rsid w:val="00EA7F4F"/>
    <w:rsid w:val="00EB5052"/>
    <w:rsid w:val="00EB64E4"/>
    <w:rsid w:val="00EC6B86"/>
    <w:rsid w:val="00EE205C"/>
    <w:rsid w:val="00F12886"/>
    <w:rsid w:val="00F13BBE"/>
    <w:rsid w:val="00F16D7F"/>
    <w:rsid w:val="00F20A2C"/>
    <w:rsid w:val="00F3179D"/>
    <w:rsid w:val="00F32B94"/>
    <w:rsid w:val="00F32F99"/>
    <w:rsid w:val="00F34251"/>
    <w:rsid w:val="00F37F19"/>
    <w:rsid w:val="00F4300E"/>
    <w:rsid w:val="00F54377"/>
    <w:rsid w:val="00F563A8"/>
    <w:rsid w:val="00F73B70"/>
    <w:rsid w:val="00F73E02"/>
    <w:rsid w:val="00F75F32"/>
    <w:rsid w:val="00F8228D"/>
    <w:rsid w:val="00F85418"/>
    <w:rsid w:val="00F91629"/>
    <w:rsid w:val="00F96AE7"/>
    <w:rsid w:val="00FB3905"/>
    <w:rsid w:val="00FC4CA1"/>
    <w:rsid w:val="00FD26ED"/>
    <w:rsid w:val="01ED479C"/>
    <w:rsid w:val="04581DE6"/>
    <w:rsid w:val="08E6207F"/>
    <w:rsid w:val="0D7B0380"/>
    <w:rsid w:val="0EC610C3"/>
    <w:rsid w:val="0F820DCB"/>
    <w:rsid w:val="12E5530C"/>
    <w:rsid w:val="134926D3"/>
    <w:rsid w:val="13CA183B"/>
    <w:rsid w:val="146E0D97"/>
    <w:rsid w:val="16E93B0B"/>
    <w:rsid w:val="185467A5"/>
    <w:rsid w:val="18691FE8"/>
    <w:rsid w:val="1B854D52"/>
    <w:rsid w:val="1D9B06F6"/>
    <w:rsid w:val="221E3CD2"/>
    <w:rsid w:val="22764992"/>
    <w:rsid w:val="232F0620"/>
    <w:rsid w:val="23A10D2D"/>
    <w:rsid w:val="23F5414B"/>
    <w:rsid w:val="243A2187"/>
    <w:rsid w:val="24D22C57"/>
    <w:rsid w:val="251C31B6"/>
    <w:rsid w:val="26610F4A"/>
    <w:rsid w:val="289A00EC"/>
    <w:rsid w:val="2DF22655"/>
    <w:rsid w:val="31B01624"/>
    <w:rsid w:val="32096C48"/>
    <w:rsid w:val="32ED6E0D"/>
    <w:rsid w:val="341C3C1D"/>
    <w:rsid w:val="381545E5"/>
    <w:rsid w:val="3A1E1BCB"/>
    <w:rsid w:val="3DF95AA4"/>
    <w:rsid w:val="3EAA2AA7"/>
    <w:rsid w:val="3F00085E"/>
    <w:rsid w:val="3F8B5BF9"/>
    <w:rsid w:val="40BE364F"/>
    <w:rsid w:val="42BC523B"/>
    <w:rsid w:val="42BC5C70"/>
    <w:rsid w:val="42E47DC7"/>
    <w:rsid w:val="43A92C8C"/>
    <w:rsid w:val="461E7FAF"/>
    <w:rsid w:val="47965485"/>
    <w:rsid w:val="486D2FBC"/>
    <w:rsid w:val="487C6488"/>
    <w:rsid w:val="48DE2ED6"/>
    <w:rsid w:val="49327862"/>
    <w:rsid w:val="49503472"/>
    <w:rsid w:val="4B1E0897"/>
    <w:rsid w:val="56A30254"/>
    <w:rsid w:val="56AD27EA"/>
    <w:rsid w:val="56EA38C6"/>
    <w:rsid w:val="59006CF1"/>
    <w:rsid w:val="5CDB3081"/>
    <w:rsid w:val="5F132262"/>
    <w:rsid w:val="60B153A0"/>
    <w:rsid w:val="60F91937"/>
    <w:rsid w:val="63437702"/>
    <w:rsid w:val="67143E90"/>
    <w:rsid w:val="67C3777C"/>
    <w:rsid w:val="69323E53"/>
    <w:rsid w:val="699F4909"/>
    <w:rsid w:val="6D9D1E94"/>
    <w:rsid w:val="727819E2"/>
    <w:rsid w:val="72DF1245"/>
    <w:rsid w:val="742F6C5F"/>
    <w:rsid w:val="74B2260C"/>
    <w:rsid w:val="7D1759DF"/>
    <w:rsid w:val="7EFB4D1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qFormat="1" w:unhideWhenUsed="0" w:uiPriority="39" w:semiHidden="0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link w:val="19"/>
    <w:qFormat/>
    <w:uiPriority w:val="0"/>
    <w:pPr>
      <w:keepNext/>
      <w:keepLines/>
      <w:numPr>
        <w:ilvl w:val="0"/>
        <w:numId w:val="1"/>
      </w:numPr>
      <w:spacing w:beforeLines="50" w:afterLines="50"/>
      <w:outlineLvl w:val="0"/>
    </w:pPr>
    <w:rPr>
      <w:rFonts w:ascii="Arial" w:hAnsi="Arial" w:eastAsia="宋体" w:cs="Times New Roman"/>
      <w:b/>
      <w:kern w:val="44"/>
      <w:sz w:val="36"/>
      <w:szCs w:val="30"/>
      <w:lang w:val="en-US" w:eastAsia="zh-CN" w:bidi="ar-SA"/>
    </w:rPr>
  </w:style>
  <w:style w:type="paragraph" w:styleId="3">
    <w:name w:val="heading 2"/>
    <w:basedOn w:val="2"/>
    <w:next w:val="1"/>
    <w:link w:val="20"/>
    <w:qFormat/>
    <w:uiPriority w:val="0"/>
    <w:pPr>
      <w:numPr>
        <w:ilvl w:val="1"/>
      </w:numPr>
      <w:tabs>
        <w:tab w:val="left" w:pos="210"/>
        <w:tab w:val="left" w:pos="227"/>
        <w:tab w:val="left" w:pos="420"/>
      </w:tabs>
      <w:spacing w:line="400" w:lineRule="exact"/>
      <w:outlineLvl w:val="1"/>
    </w:pPr>
    <w:rPr>
      <w:rFonts w:ascii="Times New Roman" w:hAnsi="Times New Roman"/>
      <w:sz w:val="32"/>
      <w:szCs w:val="32"/>
    </w:rPr>
  </w:style>
  <w:style w:type="paragraph" w:styleId="4">
    <w:name w:val="heading 3"/>
    <w:basedOn w:val="1"/>
    <w:next w:val="1"/>
    <w:link w:val="21"/>
    <w:qFormat/>
    <w:uiPriority w:val="0"/>
    <w:pPr>
      <w:tabs>
        <w:tab w:val="left" w:pos="567"/>
      </w:tabs>
      <w:outlineLvl w:val="2"/>
    </w:pPr>
    <w:rPr>
      <w:sz w:val="30"/>
      <w:szCs w:val="28"/>
    </w:rPr>
  </w:style>
  <w:style w:type="paragraph" w:styleId="5">
    <w:name w:val="heading 4"/>
    <w:basedOn w:val="1"/>
    <w:next w:val="1"/>
    <w:link w:val="22"/>
    <w:qFormat/>
    <w:uiPriority w:val="0"/>
    <w:pPr>
      <w:keepNext/>
      <w:keepLines/>
      <w:numPr>
        <w:ilvl w:val="3"/>
        <w:numId w:val="1"/>
      </w:numPr>
      <w:tabs>
        <w:tab w:val="left" w:pos="1440"/>
      </w:tabs>
      <w:ind w:left="240" w:leftChars="100" w:right="240" w:rightChars="100" w:firstLine="0"/>
      <w:outlineLvl w:val="3"/>
    </w:pPr>
    <w:rPr>
      <w:rFonts w:ascii="Times New Roman" w:hAnsi="Times New Roman" w:eastAsia="宋体" w:cs="Times New Roman"/>
      <w:b/>
      <w:sz w:val="28"/>
      <w:szCs w:val="24"/>
    </w:rPr>
  </w:style>
  <w:style w:type="paragraph" w:styleId="6">
    <w:name w:val="heading 5"/>
    <w:basedOn w:val="1"/>
    <w:next w:val="1"/>
    <w:link w:val="23"/>
    <w:qFormat/>
    <w:uiPriority w:val="0"/>
    <w:pPr>
      <w:keepNext/>
      <w:keepLines/>
      <w:numPr>
        <w:ilvl w:val="0"/>
        <w:numId w:val="2"/>
      </w:numPr>
      <w:spacing w:before="40" w:after="50" w:line="377" w:lineRule="auto"/>
      <w:ind w:right="100" w:rightChars="100" w:firstLine="0"/>
      <w:outlineLvl w:val="4"/>
    </w:pPr>
    <w:rPr>
      <w:rFonts w:ascii="Times New Roman" w:hAnsi="Times New Roman" w:eastAsia="宋体" w:cs="Times New Roman"/>
      <w:b/>
      <w:bCs/>
      <w:sz w:val="24"/>
      <w:szCs w:val="28"/>
    </w:rPr>
  </w:style>
  <w:style w:type="paragraph" w:styleId="7">
    <w:name w:val="heading 6"/>
    <w:basedOn w:val="1"/>
    <w:next w:val="1"/>
    <w:link w:val="24"/>
    <w:qFormat/>
    <w:uiPriority w:val="0"/>
    <w:pPr>
      <w:keepNext/>
      <w:keepLines/>
      <w:numPr>
        <w:ilvl w:val="5"/>
        <w:numId w:val="1"/>
      </w:numPr>
      <w:tabs>
        <w:tab w:val="left" w:pos="567"/>
      </w:tabs>
      <w:spacing w:before="240" w:after="64" w:line="320" w:lineRule="auto"/>
      <w:ind w:firstLine="0"/>
      <w:outlineLvl w:val="5"/>
    </w:pPr>
    <w:rPr>
      <w:rFonts w:ascii="Arial" w:hAnsi="Arial" w:eastAsia="黑体" w:cs="Times New Roman"/>
      <w:b/>
      <w:bCs/>
      <w:sz w:val="24"/>
      <w:szCs w:val="24"/>
    </w:rPr>
  </w:style>
  <w:style w:type="paragraph" w:styleId="8">
    <w:name w:val="heading 7"/>
    <w:basedOn w:val="1"/>
    <w:next w:val="1"/>
    <w:link w:val="25"/>
    <w:qFormat/>
    <w:uiPriority w:val="0"/>
    <w:pPr>
      <w:keepNext/>
      <w:keepLines/>
      <w:numPr>
        <w:ilvl w:val="6"/>
        <w:numId w:val="1"/>
      </w:numPr>
      <w:tabs>
        <w:tab w:val="left" w:pos="567"/>
      </w:tabs>
      <w:spacing w:before="240" w:after="64" w:line="320" w:lineRule="auto"/>
      <w:ind w:firstLine="0"/>
      <w:outlineLvl w:val="6"/>
    </w:pPr>
    <w:rPr>
      <w:rFonts w:ascii="Times New Roman" w:hAnsi="Times New Roman" w:eastAsia="宋体" w:cs="Times New Roman"/>
      <w:b/>
      <w:bCs/>
      <w:sz w:val="24"/>
      <w:szCs w:val="24"/>
    </w:rPr>
  </w:style>
  <w:style w:type="paragraph" w:styleId="9">
    <w:name w:val="heading 8"/>
    <w:basedOn w:val="1"/>
    <w:next w:val="1"/>
    <w:link w:val="26"/>
    <w:qFormat/>
    <w:uiPriority w:val="0"/>
    <w:pPr>
      <w:keepNext/>
      <w:keepLines/>
      <w:numPr>
        <w:ilvl w:val="7"/>
        <w:numId w:val="1"/>
      </w:numPr>
      <w:tabs>
        <w:tab w:val="left" w:pos="567"/>
      </w:tabs>
      <w:spacing w:before="240" w:after="64" w:line="320" w:lineRule="auto"/>
      <w:ind w:firstLine="0"/>
      <w:outlineLvl w:val="7"/>
    </w:pPr>
    <w:rPr>
      <w:rFonts w:ascii="Arial" w:hAnsi="Arial" w:eastAsia="黑体" w:cs="Times New Roman"/>
      <w:sz w:val="24"/>
      <w:szCs w:val="24"/>
    </w:rPr>
  </w:style>
  <w:style w:type="paragraph" w:styleId="10">
    <w:name w:val="heading 9"/>
    <w:basedOn w:val="1"/>
    <w:next w:val="1"/>
    <w:link w:val="27"/>
    <w:qFormat/>
    <w:uiPriority w:val="0"/>
    <w:pPr>
      <w:keepNext/>
      <w:keepLines/>
      <w:numPr>
        <w:ilvl w:val="8"/>
        <w:numId w:val="1"/>
      </w:numPr>
      <w:tabs>
        <w:tab w:val="left" w:pos="567"/>
      </w:tabs>
      <w:spacing w:before="240" w:after="64" w:line="320" w:lineRule="auto"/>
      <w:ind w:firstLine="0"/>
      <w:outlineLvl w:val="8"/>
    </w:pPr>
    <w:rPr>
      <w:rFonts w:ascii="Arial" w:hAnsi="Arial" w:eastAsia="黑体" w:cs="Times New Roman"/>
      <w:sz w:val="24"/>
      <w:szCs w:val="21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qFormat/>
    <w:uiPriority w:val="1"/>
    <w:pPr>
      <w:autoSpaceDE w:val="0"/>
      <w:autoSpaceDN w:val="0"/>
    </w:pPr>
    <w:rPr>
      <w:rFonts w:ascii="仿宋" w:hAnsi="仿宋" w:eastAsia="仿宋" w:cs="仿宋"/>
    </w:rPr>
  </w:style>
  <w:style w:type="paragraph" w:styleId="12">
    <w:name w:val="footer"/>
    <w:basedOn w:val="1"/>
    <w:link w:val="34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toc 4"/>
    <w:basedOn w:val="1"/>
    <w:next w:val="1"/>
    <w:qFormat/>
    <w:uiPriority w:val="39"/>
    <w:pPr>
      <w:spacing w:line="300" w:lineRule="auto"/>
      <w:ind w:left="250" w:leftChars="250" w:firstLine="960" w:firstLineChars="200"/>
      <w:jc w:val="right"/>
    </w:pPr>
    <w:rPr>
      <w:rFonts w:ascii="Times New Roman" w:hAnsi="Times New Roman" w:eastAsia="宋体" w:cs="Times New Roman"/>
      <w:sz w:val="24"/>
      <w:szCs w:val="24"/>
    </w:rPr>
  </w:style>
  <w:style w:type="paragraph" w:styleId="15">
    <w:name w:val="Title"/>
    <w:basedOn w:val="1"/>
    <w:next w:val="1"/>
    <w:link w:val="29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table" w:styleId="17">
    <w:name w:val="Table Grid"/>
    <w:basedOn w:val="1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标题 1 Char"/>
    <w:basedOn w:val="18"/>
    <w:link w:val="2"/>
    <w:qFormat/>
    <w:uiPriority w:val="0"/>
    <w:rPr>
      <w:rFonts w:ascii="Arial" w:hAnsi="Arial" w:eastAsia="宋体" w:cs="Times New Roman"/>
      <w:b/>
      <w:kern w:val="44"/>
      <w:sz w:val="36"/>
      <w:szCs w:val="30"/>
    </w:rPr>
  </w:style>
  <w:style w:type="character" w:customStyle="1" w:styleId="20">
    <w:name w:val="标题 2 Char"/>
    <w:basedOn w:val="18"/>
    <w:link w:val="3"/>
    <w:qFormat/>
    <w:uiPriority w:val="0"/>
    <w:rPr>
      <w:rFonts w:ascii="Times New Roman" w:hAnsi="Times New Roman" w:eastAsia="宋体" w:cs="Times New Roman"/>
      <w:b/>
      <w:kern w:val="44"/>
      <w:sz w:val="32"/>
      <w:szCs w:val="32"/>
    </w:rPr>
  </w:style>
  <w:style w:type="character" w:customStyle="1" w:styleId="21">
    <w:name w:val="标题 3 Char"/>
    <w:basedOn w:val="18"/>
    <w:link w:val="4"/>
    <w:qFormat/>
    <w:uiPriority w:val="0"/>
    <w:rPr>
      <w:rFonts w:ascii="Times New Roman" w:hAnsi="Times New Roman" w:eastAsia="宋体" w:cs="Times New Roman"/>
      <w:b/>
      <w:kern w:val="44"/>
      <w:sz w:val="30"/>
      <w:szCs w:val="28"/>
    </w:rPr>
  </w:style>
  <w:style w:type="character" w:customStyle="1" w:styleId="22">
    <w:name w:val="标题 4 Char"/>
    <w:basedOn w:val="18"/>
    <w:link w:val="5"/>
    <w:qFormat/>
    <w:uiPriority w:val="0"/>
    <w:rPr>
      <w:rFonts w:ascii="Times New Roman" w:hAnsi="Times New Roman" w:eastAsia="宋体" w:cs="Times New Roman"/>
      <w:b/>
      <w:sz w:val="28"/>
      <w:szCs w:val="24"/>
    </w:rPr>
  </w:style>
  <w:style w:type="character" w:customStyle="1" w:styleId="23">
    <w:name w:val="标题 5 Char"/>
    <w:basedOn w:val="18"/>
    <w:link w:val="6"/>
    <w:qFormat/>
    <w:uiPriority w:val="0"/>
    <w:rPr>
      <w:rFonts w:ascii="Times New Roman" w:hAnsi="Times New Roman" w:eastAsia="宋体" w:cs="Times New Roman"/>
      <w:b/>
      <w:bCs/>
      <w:sz w:val="24"/>
      <w:szCs w:val="28"/>
    </w:rPr>
  </w:style>
  <w:style w:type="character" w:customStyle="1" w:styleId="24">
    <w:name w:val="标题 6 Char"/>
    <w:basedOn w:val="18"/>
    <w:link w:val="7"/>
    <w:qFormat/>
    <w:uiPriority w:val="0"/>
    <w:rPr>
      <w:rFonts w:ascii="Arial" w:hAnsi="Arial" w:eastAsia="黑体" w:cs="Times New Roman"/>
      <w:b/>
      <w:bCs/>
      <w:sz w:val="24"/>
      <w:szCs w:val="24"/>
    </w:rPr>
  </w:style>
  <w:style w:type="character" w:customStyle="1" w:styleId="25">
    <w:name w:val="标题 7 Char"/>
    <w:basedOn w:val="18"/>
    <w:link w:val="8"/>
    <w:qFormat/>
    <w:uiPriority w:val="0"/>
    <w:rPr>
      <w:rFonts w:ascii="Times New Roman" w:hAnsi="Times New Roman" w:eastAsia="宋体" w:cs="Times New Roman"/>
      <w:b/>
      <w:bCs/>
      <w:sz w:val="24"/>
      <w:szCs w:val="24"/>
    </w:rPr>
  </w:style>
  <w:style w:type="character" w:customStyle="1" w:styleId="26">
    <w:name w:val="标题 8 Char"/>
    <w:basedOn w:val="18"/>
    <w:link w:val="9"/>
    <w:qFormat/>
    <w:uiPriority w:val="0"/>
    <w:rPr>
      <w:rFonts w:ascii="Arial" w:hAnsi="Arial" w:eastAsia="黑体" w:cs="Times New Roman"/>
      <w:sz w:val="24"/>
      <w:szCs w:val="24"/>
    </w:rPr>
  </w:style>
  <w:style w:type="character" w:customStyle="1" w:styleId="27">
    <w:name w:val="标题 9 Char"/>
    <w:basedOn w:val="18"/>
    <w:link w:val="10"/>
    <w:qFormat/>
    <w:uiPriority w:val="0"/>
    <w:rPr>
      <w:rFonts w:ascii="Arial" w:hAnsi="Arial" w:eastAsia="黑体" w:cs="Times New Roman"/>
      <w:sz w:val="24"/>
      <w:szCs w:val="21"/>
    </w:rPr>
  </w:style>
  <w:style w:type="paragraph" w:styleId="28">
    <w:name w:val="List Paragraph"/>
    <w:basedOn w:val="1"/>
    <w:link w:val="32"/>
    <w:qFormat/>
    <w:uiPriority w:val="34"/>
    <w:pPr>
      <w:ind w:firstLine="420" w:firstLineChars="200"/>
    </w:pPr>
  </w:style>
  <w:style w:type="character" w:customStyle="1" w:styleId="29">
    <w:name w:val="标题 Char"/>
    <w:basedOn w:val="18"/>
    <w:link w:val="15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paragraph" w:customStyle="1" w:styleId="30">
    <w:name w:val="内容编号"/>
    <w:basedOn w:val="1"/>
    <w:qFormat/>
    <w:uiPriority w:val="0"/>
    <w:pPr>
      <w:numPr>
        <w:ilvl w:val="1"/>
        <w:numId w:val="3"/>
      </w:numPr>
    </w:pPr>
  </w:style>
  <w:style w:type="paragraph" w:customStyle="1" w:styleId="31">
    <w:name w:val="文档正文"/>
    <w:basedOn w:val="1"/>
    <w:qFormat/>
    <w:uiPriority w:val="0"/>
    <w:pPr>
      <w:numPr>
        <w:ilvl w:val="0"/>
        <w:numId w:val="4"/>
      </w:numPr>
    </w:pPr>
  </w:style>
  <w:style w:type="character" w:customStyle="1" w:styleId="32">
    <w:name w:val="列出段落 Char"/>
    <w:link w:val="28"/>
    <w:qFormat/>
    <w:uiPriority w:val="34"/>
  </w:style>
  <w:style w:type="character" w:customStyle="1" w:styleId="33">
    <w:name w:val="页眉 Char"/>
    <w:basedOn w:val="18"/>
    <w:link w:val="13"/>
    <w:semiHidden/>
    <w:qFormat/>
    <w:uiPriority w:val="99"/>
    <w:rPr>
      <w:sz w:val="18"/>
      <w:szCs w:val="18"/>
    </w:rPr>
  </w:style>
  <w:style w:type="character" w:customStyle="1" w:styleId="34">
    <w:name w:val="页脚 Char"/>
    <w:basedOn w:val="18"/>
    <w:link w:val="12"/>
    <w:semiHidden/>
    <w:qFormat/>
    <w:uiPriority w:val="99"/>
    <w:rPr>
      <w:sz w:val="18"/>
      <w:szCs w:val="18"/>
    </w:rPr>
  </w:style>
  <w:style w:type="character" w:customStyle="1" w:styleId="35">
    <w:name w:val="15"/>
    <w:basedOn w:val="18"/>
    <w:qFormat/>
    <w:uiPriority w:val="0"/>
    <w:rPr>
      <w:rFonts w:hint="default" w:ascii="Times New Roman" w:hAnsi="Times New Roman" w:cs="Times New Roman"/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B0C13AC-5FD7-49C8-94F0-3FECC206EF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5</Pages>
  <Words>454</Words>
  <Characters>2589</Characters>
  <Lines>21</Lines>
  <Paragraphs>6</Paragraphs>
  <TotalTime>38</TotalTime>
  <ScaleCrop>false</ScaleCrop>
  <LinksUpToDate>false</LinksUpToDate>
  <CharactersWithSpaces>3037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2020-05-27T09:13:00Z</dcterms:created>
  <dc:creator>廖锡广</dc:creator>
  <cp:lastModifiedBy>Administrator</cp:lastModifiedBy>
  <cp:lastPrinted>2025-07-14T09:21:00Z</cp:lastPrinted>
  <dcterms:modified xsi:type="dcterms:W3CDTF">2026-10-27T01:47:13Z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  <property fmtid="{D5CDD505-2E9C-101B-9397-08002B2CF9AE}" pid="3" name="KSOTemplateDocerSaveRecord">
    <vt:lpwstr>eyJoZGlkIjoiOTI5ZTJlYzc2NjU2ZjRjZjNmODkxNjUzYzc5NzdmNDMiLCJ1c2VySWQiOiI4NDQ3NDQyODQifQ==</vt:lpwstr>
  </property>
  <property fmtid="{D5CDD505-2E9C-101B-9397-08002B2CF9AE}" pid="4" name="ICV">
    <vt:lpwstr>16A97F5025B147139A433AD41E0B1A2B_12</vt:lpwstr>
  </property>
</Properties>
</file>